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64770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-94615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ind w:left="480" w:hanging="459"/>
        <w:spacing w:after="0" w:line="189" w:lineRule="auto"/>
        <w:tabs>
          <w:tab w:leader="none" w:pos="480"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w:t>
      </w:r>
    </w:p>
    <w:p>
      <w:pPr>
        <w:spacing w:after="0" w:line="18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001-42279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71120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5" w:lineRule="exact"/>
        <w:rPr>
          <w:sz w:val="24"/>
          <w:szCs w:val="24"/>
          <w:color w:val="auto"/>
        </w:rPr>
      </w:pPr>
    </w:p>
    <w:tbl>
      <w:tblPr>
        <w:tblLayout w:type="fixed"/>
        <w:tblInd w:w="1740" w:type="dxa"/>
        <w:tblCellMar>
          <w:top w:w="0" w:type="dxa"/>
          <w:left w:w="0" w:type="dxa"/>
          <w:bottom w:w="0" w:type="dxa"/>
          <w:right w:w="0" w:type="dxa"/>
        </w:tblCellMar>
      </w:tblPr>
      <w:tr>
        <w:trPr>
          <w:trHeight w:val="447"/>
        </w:trPr>
        <w:tc>
          <w:tcPr>
            <w:tcW w:w="5960" w:type="dxa"/>
            <w:vAlign w:val="bottom"/>
            <w:gridSpan w:val="3"/>
          </w:tcPr>
          <w:p>
            <w:pPr>
              <w:jc w:val="center"/>
              <w:ind w:left="1710"/>
              <w:spacing w:after="0"/>
              <w:rPr>
                <w:sz w:val="20"/>
                <w:szCs w:val="20"/>
                <w:color w:val="auto"/>
              </w:rPr>
            </w:pPr>
            <w:r>
              <w:rPr>
                <w:rFonts w:ascii="Times New Roman" w:cs="Times New Roman" w:eastAsia="Times New Roman" w:hAnsi="Times New Roman"/>
                <w:sz w:val="36"/>
                <w:szCs w:val="36"/>
                <w:b w:val="1"/>
                <w:bCs w:val="1"/>
                <w:color w:val="auto"/>
                <w:w w:val="99"/>
              </w:rPr>
              <w:t>BIOAGE LABS, INC.</w:t>
            </w:r>
          </w:p>
        </w:tc>
        <w:tc>
          <w:tcPr>
            <w:tcW w:w="1220" w:type="dxa"/>
            <w:vAlign w:val="bottom"/>
          </w:tcPr>
          <w:p>
            <w:pPr>
              <w:spacing w:after="0"/>
              <w:rPr>
                <w:sz w:val="24"/>
                <w:szCs w:val="24"/>
                <w:color w:val="auto"/>
              </w:rPr>
            </w:pPr>
          </w:p>
        </w:tc>
      </w:tr>
      <w:tr>
        <w:trPr>
          <w:trHeight w:val="212"/>
        </w:trPr>
        <w:tc>
          <w:tcPr>
            <w:tcW w:w="5960" w:type="dxa"/>
            <w:vAlign w:val="bottom"/>
            <w:gridSpan w:val="3"/>
          </w:tcPr>
          <w:p>
            <w:pPr>
              <w:jc w:val="center"/>
              <w:ind w:left="171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20" w:type="dxa"/>
            <w:vAlign w:val="bottom"/>
          </w:tcPr>
          <w:p>
            <w:pPr>
              <w:spacing w:after="0"/>
              <w:rPr>
                <w:sz w:val="18"/>
                <w:szCs w:val="18"/>
                <w:color w:val="auto"/>
              </w:rPr>
            </w:pPr>
          </w:p>
        </w:tc>
      </w:tr>
      <w:tr>
        <w:trPr>
          <w:trHeight w:val="101"/>
        </w:trPr>
        <w:tc>
          <w:tcPr>
            <w:tcW w:w="246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57"/>
        </w:trPr>
        <w:tc>
          <w:tcPr>
            <w:tcW w:w="596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47-4721157</w:t>
            </w:r>
          </w:p>
        </w:tc>
      </w:tr>
      <w:tr>
        <w:trPr>
          <w:trHeight w:val="135"/>
        </w:trPr>
        <w:tc>
          <w:tcPr>
            <w:tcW w:w="5960" w:type="dxa"/>
            <w:vAlign w:val="bottom"/>
            <w:gridSpan w:val="3"/>
          </w:tcPr>
          <w:p>
            <w:pPr>
              <w:jc w:val="center"/>
              <w:ind w:right="3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220" w:type="dxa"/>
            <w:vAlign w:val="bottom"/>
          </w:tcPr>
          <w:p>
            <w:pPr>
              <w:jc w:val="center"/>
              <w:ind w:left="1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5960" w:type="dxa"/>
            <w:vAlign w:val="bottom"/>
            <w:gridSpan w:val="3"/>
          </w:tcPr>
          <w:p>
            <w:pPr>
              <w:jc w:val="center"/>
              <w:ind w:right="3820"/>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220" w:type="dxa"/>
            <w:vAlign w:val="bottom"/>
          </w:tcPr>
          <w:p>
            <w:pPr>
              <w:jc w:val="center"/>
              <w:ind w:left="16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596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5885 Hollis Street, Suite 370</w:t>
            </w:r>
          </w:p>
        </w:tc>
        <w:tc>
          <w:tcPr>
            <w:tcW w:w="1220" w:type="dxa"/>
            <w:vAlign w:val="bottom"/>
          </w:tcPr>
          <w:p>
            <w:pPr>
              <w:spacing w:after="0"/>
              <w:rPr>
                <w:sz w:val="18"/>
                <w:szCs w:val="18"/>
                <w:color w:val="auto"/>
              </w:rPr>
            </w:pPr>
          </w:p>
        </w:tc>
      </w:tr>
      <w:tr>
        <w:trPr>
          <w:trHeight w:val="218"/>
        </w:trPr>
        <w:tc>
          <w:tcPr>
            <w:tcW w:w="596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Emeryville, CA</w:t>
            </w:r>
          </w:p>
        </w:tc>
        <w:tc>
          <w:tcPr>
            <w:tcW w:w="12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66"/>
        </w:trPr>
        <w:tc>
          <w:tcPr>
            <w:tcW w:w="5960" w:type="dxa"/>
            <w:vAlign w:val="bottom"/>
            <w:gridSpan w:val="3"/>
          </w:tcPr>
          <w:p>
            <w:pPr>
              <w:jc w:val="center"/>
              <w:ind w:right="382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220" w:type="dxa"/>
            <w:vAlign w:val="bottom"/>
          </w:tcPr>
          <w:p>
            <w:pPr>
              <w:jc w:val="center"/>
              <w:ind w:left="1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(510) 806-1445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81915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7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BIOA</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7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77"/>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6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7"/>
              </w:rPr>
              <w:t>☐</w:t>
            </w:r>
          </w:p>
        </w:tc>
        <w:tc>
          <w:tcPr>
            <w:tcW w:w="478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24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58"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8"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tabs>
          <w:tab w:leader="none" w:pos="63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Global Select Market on June 30, 2025, the last business day of the Registrant's most recently completed second fiscal quarter, was approximately $112.7 million.</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19, 2026 was 44,379,753.</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0" w:lineRule="exact"/>
        <w:rPr>
          <w:sz w:val="24"/>
          <w:szCs w:val="24"/>
          <w:color w:val="auto"/>
        </w:rPr>
      </w:pPr>
    </w:p>
    <w:p>
      <w:pPr>
        <w:ind w:right="20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(“Proxy Statement”) relating to the 2026 Annual Meeting of Stockholders will be filed with the Commission within 120 days after the end of the Registrant’s 2025 fiscal year and are incorporated by reference into Part III of this Report.</w:t>
      </w:r>
    </w:p>
    <w:p>
      <w:pPr>
        <w:spacing w:after="0" w:line="39" w:lineRule="exact"/>
        <w:rPr>
          <w:sz w:val="24"/>
          <w:szCs w:val="24"/>
          <w:color w:val="auto"/>
        </w:rPr>
      </w:pPr>
    </w:p>
    <w:p>
      <w:pPr>
        <w:spacing w:after="0"/>
        <w:tabs>
          <w:tab w:leader="none" w:pos="4880" w:val="left"/>
          <w:tab w:leader="none" w:pos="8980" w:val="left"/>
        </w:tabs>
        <w:rPr>
          <w:sz w:val="20"/>
          <w:szCs w:val="20"/>
          <w:color w:val="auto"/>
        </w:rPr>
      </w:pPr>
      <w:r>
        <w:rPr>
          <w:rFonts w:ascii="Times New Roman" w:cs="Times New Roman" w:eastAsia="Times New Roman" w:hAnsi="Times New Roman"/>
          <w:sz w:val="13"/>
          <w:szCs w:val="13"/>
          <w:color w:val="auto"/>
        </w:rPr>
        <w:t>Auditor Firm ID:185</w:t>
      </w:r>
      <w:r>
        <w:rPr>
          <w:sz w:val="20"/>
          <w:szCs w:val="20"/>
          <w:color w:val="auto"/>
        </w:rPr>
        <w:tab/>
      </w:r>
      <w:r>
        <w:rPr>
          <w:rFonts w:ascii="Times New Roman" w:cs="Times New Roman" w:eastAsia="Times New Roman" w:hAnsi="Times New Roman"/>
          <w:sz w:val="13"/>
          <w:szCs w:val="13"/>
          <w:color w:val="auto"/>
        </w:rPr>
        <w:t>Auditor Name: KPMG LLP</w:t>
      </w:r>
      <w:r>
        <w:rPr>
          <w:sz w:val="20"/>
          <w:szCs w:val="20"/>
          <w:color w:val="auto"/>
        </w:rPr>
        <w:tab/>
      </w:r>
      <w:r>
        <w:rPr>
          <w:rFonts w:ascii="Times New Roman" w:cs="Times New Roman" w:eastAsia="Times New Roman" w:hAnsi="Times New Roman"/>
          <w:sz w:val="12"/>
          <w:szCs w:val="12"/>
          <w:color w:val="auto"/>
        </w:rPr>
        <w:t>Auditor Location: San Francisco, California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6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44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48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740" w:type="dxa"/>
            <w:vAlign w:val="bottom"/>
            <w:gridSpan w:val="2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814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0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7"/>
                <w:szCs w:val="17"/>
                <w:color w:val="auto"/>
              </w:rPr>
            </w:pPr>
          </w:p>
        </w:tc>
        <w:tc>
          <w:tcPr>
            <w:tcW w:w="868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304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8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72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816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00" w:type="dxa"/>
            <w:vAlign w:val="bottom"/>
            <w:gridSpan w:val="8"/>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0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04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50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17"/>
                <w:szCs w:val="17"/>
                <w:color w:val="auto"/>
              </w:rPr>
            </w:pPr>
          </w:p>
        </w:tc>
        <w:tc>
          <w:tcPr>
            <w:tcW w:w="660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323"/>
        </w:trPr>
        <w:tc>
          <w:tcPr>
            <w:tcW w:w="114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In some cases, you can identify forward-looking statements by terms such as “aim,” “may,” “will,” “should,” “expect,” “forecast,”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Annual Report, including without limitation statements regarding our plans to develop and commercialize our product candidates, including BGE-102 and our APJ programs, the potential for BGE-102 as a treatment for atherosclerotic cardiovascular disease risk reduction and diabetic macular edema and the expected timeline for data readouts from our ongoing Phase 1 clinical trial, the timing and results of our ongoing or planned preclinical studies and clinical trials, risks associated with clinical trials, including our ability to adequately manage clinical activities for BGE-102 and our APJ programs, unexpected concerns that may arise from additional data or analysis obtained during clinical trials, the timing of and our ability to obtain and maintain regulatory approvals, the clinical utility of our future product candidates, our commercialization, marketing and manufacturing capabilities and strategy, our expectations about the willingness of healthcare professionals to use our product candidates, the sufficiency of our cash, cash equivalents and marketable securities, general economic conditions, the impact of industry and market conditions on our operations, including fluctuating interest rates and inflation, increased volatility in the debt and equity markets, legislative or regulatory healthcare reforms in the United States, significant political, trade or regulatory developments, including tariffs, federal government shutdowns, or shifting priorities within the U.S. Food and Drug Administration, cybersecurity incidents, and global regional conflicts, and the plans and objectives of management for future operations and capital expenditures are forward-looking statements.</w:t>
      </w:r>
    </w:p>
    <w:p>
      <w:pPr>
        <w:spacing w:after="0" w:line="1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those described under the sections in this Annual Report entitled “Risk Factors” and “Management’s Discussion and Analysis of Financial Condition and Results of Operations” and elsewhere in this Annual Report.</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therapeutic product candidates for metabolic diseases by targeting the biology of human aging. Our technology platform and differentiated human datasets enable us to identify promising targets based on insights into molecular changes that drive aging.</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announced the nomination of our lead program, BGE-102, a potent, structurally novel, orally available, brain-penetrant small-molecule NLRP3 inhibitor. BGE-102 has a distinct mechanism and binding site from other NLRP3 inhibitors in development with issued patents covering both composition of matter and claims for the unique binding site.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2025, we announced that BGE-102 was well-tolerated in Single Ascending Dose (SAD) and initial Multiple Ascending Dose (MAD) cohorts, with a pharmacokinetic profile supporting once-daily oral dosing, strong target engagement and high brain penetration.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advance BGE-102 in two therapeutic areas: cardiometabolic disease and ophthalmology.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first therapeutic area for BGE-102 is cardiometabolic disease, with a focus on atherosclerotic cardiovascular disease (ASCVD) risk reduction. Chronic systemic inflammation, as measured by high-sensitivity C-reactive protein (hsCRP), is an independent risk factor for cardiovascular events that is not adequately addressed by current lipid-lowering and antihypertensive therapies. In January 2026, we announced additional positive interim Phase 1 data, demonstrating potential for best-in-class hsCRP reduction in participants with elevated cardiovascular risk. In obese participants with elevated hsCRP, BGE-102 demonstrated an 86% median reduction in hsCRP at Day 14, with 93% of participants achieving hsCRP levels below 2 mg/L — the threshold associated with a 25% reduction in major adverse cardiovascular events. This level of hsCRP reduction is comparable to injectable anti-IL-6 monoclonal antibodies in clinical development for ASCVD, but achieved with once-daily oral dosing. We anticipate full Phase 1 SAD / MAD clinical trial results in the first half of 2026. We plan to initiate a Phase 2a proof-of-concept trial in patients with obesity and elevated hsCRP in the first half of 2026, with results anticipated by 2026 year end.</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second therapeutic area for BGE-102 is ophthalmology. Diabetic macular edema (DME) is our first proof-of-concept indication in this area. DME affects approximately 1 million patients in the United States, and current intravitreal therapies face significant unmet need due to high injection burden and a substantial refractory population — approximately 45% of patients demonstrate refractoriness to anti-vascular endothelial growth factor (VEGF) therapy. In a preclinical model of DME, oral BGE-102 demonstrated dose-dependent preservation of retinal vascular integrity, achieving near-complete protection from vascular leakage and up to 90% preservation of microvascular integrity. We plan to initiate a Phase 1b/2a proof-of-concept trial in DME in mid-2026 with results anticipated in mid-2027. The goal is to demonstrate ocular target engagement, supporting future development across inflammation-driven retinal diseases.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Beyond NLRP3 inhibition, we are also developing novel apelin receptor APJ agonists for obesity, including programs targeting both oral and parenteral (subcutaneous) administration. In preclinical obesity models, APJ agonism has demonstrated the ability to more than double the weight loss induced by a glucagon-like peptide-1 receptor (GLP-1R) agonist while also restoring healthy body composition and improving muscle function. In June 2025, we announced an option agreement with JiKang Therapeutics for a novel APJ agonist antibody, as well as the filing of a U.S. provisional patent for novel small molecule APJ agonists. We intend to file the first Investigational New Drug applications (INDs) for an APJ program by 2026 year end.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also advancing earlier stage platform-derived programs in collaboration with Eli Lilly and Company (Lilly), and have an ongoing target discovery collaboration with Novartis Pharma AG (Novartis).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targeting human aging biology to treat chronic metabolic diseases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burden of many serious and chronic diseases — including cardiovascular disease and diabetes — increases with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171450</wp:posOffset>
            </wp:positionV>
            <wp:extent cx="3394710" cy="2888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471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is a key risk factor for mortality from many chronic diseases in the United States, including cardiometabolic diseases like heart disease and diabetes.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National Center for Health Statistics).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 w:name="page6"/>
    <w:bookmarkEnd w:id="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However, there is substantial natural variation in the human population, resulting in a broad range of aging trajectories and outcomes, with some people experiencing much longer lifespans as well as delayed disease onset. We created our company to identify biological pathways associated with longer, healthier human lifespans and to develop pharmaceutical products that can modulate these pathways with the intent to prevent and reverse specific diseases, focusing on cardiometabolic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142875</wp:posOffset>
            </wp:positionV>
            <wp:extent cx="5143500" cy="3592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capture a range of aging outcomes in our human aging cohorts, including functional and cognitive decline, disease incidence and mortality. In this example, deep, serial profiling of circulating proteins in these participants was used to understand the biology that drives these outcomes.</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approach starts with human data. We examine the impact of the molecular changes that happen naturally as people age and study how these changes drive both functional decline (e.g., loss of muscle strength) and disease risk (e.g., obesity, insulin resistance, dyslipidemia, and hypertension). To develop new insights into the biological drivers of aging, we have generated proprietary longitudinal human datasets based on exclusive access to a unique resource: serial biobanked human samples coupled with health records and functional measurements collected for up to 50 years, capturing individual aging trajectories measured over several decades. We analyze these samples using state-of-the-art molecular profiling technologies,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measuring thousands of biologically relevant molecules, and then apply computational tools to the resulting data to extract potential drivers of a long and healthy lifespan.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131445</wp:posOffset>
            </wp:positionV>
            <wp:extent cx="3677285" cy="1611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7728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BioAge platform encompasses over 150 million molecular data points spanning over 25 thousand individual participant profiles and over 50 years of follow-up.</w:t>
      </w:r>
    </w:p>
    <w:p>
      <w:pPr>
        <w:spacing w:after="0" w:line="16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selected chronic cardiometabolic diseases as our primary focus within age-related chronic diseases, given their high prevalence and resulting potential for impact on population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114300</wp:posOffset>
            </wp:positionV>
            <wp:extent cx="3857625" cy="3197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762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Prevalence of major cardiometabolic disease in the United States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Chronic cardiometabolic diseases also represent outsized commercial opportunities. For instance, according to third-party estimates, the global market for GLP-1R agonists, including those used to treat diabetes, is expected to grow to $150 billion by 2031.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building a pipeline of platform-derived therapeutics targeting chronic cardiometabolic disease.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lead program is BGE-102, a potent, structurally novel, orally available, brain-penetrant small-molecule NLRP3 inhibitor. We expect to announce full Phase 1 SAD / MAD clinical trial results in the first half of 2026. We are initially developing BGE-102 for patients with cardiovascular risk factors and DME.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cardiovascular risk, we intend to initiate a dose-ranging Phase 2a proof-of-concept trial in the first half of 2026 in patients with obesity and elevated hsCRP. Approximately 160 patients will be randomized BGE-102 or placebo for 12 weeks. The primary endpoint is percent change in hsCRP. Results are anticipated by 2026 year end.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DME, we intend to initiate a Phase 1b/2a proof-of-concept trial in mid-2026 in patients with DME. Approximately 90 patients will be randomized across groups; BGE-102 will be assessed as an adjunctive therapy to intravitreal anti-VEGF treatment and as a monotherapy. The goal of the trial is to demonstrate target engagement in the eye. Results are anticipated in mid-2027.</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also developing novel apelin receptor APJ agonists for obesity, including programs targeting both oral and parenteral (subcutaneous) administration. We intend to file the first IND for an APJ program by 2026 year end.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advancing several additional platform targets, currently in molecule discovery stage in collaboration with Lilly, which we believe have the potential to transform treatment of cardiometabolic disease. We plan to expand this pipeline over time, both internally and through our target discovery collaboration with Novartis.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product candidates and ongoing collaborations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171450</wp:posOffset>
            </wp:positionV>
            <wp:extent cx="5760720" cy="2348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assembled a leadership team of experts in aging biology and drug development. Our senior team consists of the following members:</w:t>
      </w:r>
    </w:p>
    <w:p>
      <w:pPr>
        <w:spacing w:after="0" w:line="11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Kristen Fortney, Ph.D., our Chief Executive Officer and co-founder. Dr. Fortney has extensive experience in aging biology, genetics and bioinformatics and systems biology from her work at Stanford and the University of Toronto.</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Morgen, M.D., our Chief Operating Officer and co-founder. Dr. Morgen was previously on the faculty at the University of Toronto, where his research focused on biomarker discovery and characterization in high-dimensional datasets from human cohorts.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jc w:val="both"/>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 Goldstein, M.D., our Chief Financial Officer. Dr. Goldstein previously served as Chief Financial Officer at Vicuron Pharmaceuticals Inc. and Loxo Oncology Inc., as well as a Managing Partner at Aisling Capital. He was most recently the Chief Financial Officer and Chief Business Officer of Indapta Therapeutics, Inc.</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Rubin, M.D., our Chief Medical Officer. Dr. Rubin has over 35 years of experience in the biotechnology industry and has led 12 compounds to U.S. approval, with five led from discovery through approval, including Lunesta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Xopenex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 most recently served as Executive Vice President Research and Development at miRagen Therapeutics, Inc. and was previously Chief Medical Officer at XOMA Corporation and Executive Vice President Research and Development at Sepracor.</w:t>
      </w:r>
    </w:p>
    <w:p>
      <w:pPr>
        <w:spacing w:after="0" w:line="8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Neale, our Chief Development Officer. Ms. Neale has over 30 years of experience in the biotechnology industry. She was most recently Senior Vice President of Development Operations at Principia BioPharma Inc. (acquired by Sanofi S.A.), where she led operations and resourcing strategy for multiple global early- and late-phase clinical programs.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Peng Leong, Ph.D., our Chief Business Officer. Dr. Leong has extensive experience in the biotech industry, previously serving in healthcare investment banking at Piper Jaffray and as Head of General Medicine Business Development at Merck KgaA and Chief Business Officer at Kazia Therapeutics Limited.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BJ Sullivan, Ph.D., our Chief Strategy Officer. Dr. Sullivan was previously in L.E.K. Consulting’s life sciences practice, where he advised biopharma companies on growth strategy and M&amp;A.</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Hartman, Ph.D., our Senior Vice President, Chemistry. Dr. Hartman is a co-founder of Novira Therapeutics, Inc. and previously served as executive director of medicinal chemistry at Merck &amp; Co., Inc. where he and his group identified and brought 12 drug candidates into Phase 2 or Phase 3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goal is to develop a focused portfolio of therapies for cardiometabolic disease by targeting the biology of human aging. Below is a summary of key product candidate and platform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131445</wp:posOffset>
            </wp:positionV>
            <wp:extent cx="4671695" cy="258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7169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strategy is to:</w:t>
      </w:r>
    </w:p>
    <w:p>
      <w:pPr>
        <w:spacing w:after="0" w:line="113" w:lineRule="exact"/>
        <w:rPr>
          <w:sz w:val="20"/>
          <w:szCs w:val="20"/>
          <w:color w:val="auto"/>
        </w:rPr>
      </w:pPr>
    </w:p>
    <w:p>
      <w:pPr>
        <w:jc w:val="both"/>
        <w:ind w:left="10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Apply novel insights into aging biology to build a pipeline of therapeutics to transform the treatment of chronic cardiometabolic diseases. </w:t>
      </w:r>
      <w:r>
        <w:rPr>
          <w:rFonts w:ascii="Times New Roman" w:cs="Times New Roman" w:eastAsia="Times New Roman" w:hAnsi="Times New Roman"/>
          <w:sz w:val="18"/>
          <w:szCs w:val="18"/>
          <w:color w:val="auto"/>
        </w:rPr>
        <w:t>Our platform provides unique insights into human aging biology spanning over 50 years. These insights enabled the identification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NLRP3 and apelin as targets. We also have several discovery-stage programs targeting this novel biology, which we will continue to advance through our ongoing collaborations with Lilly and Novartis. We plan to grow this pipeline over time, both internally and potentially through additional partnerships with pharmaceutical companies that have complementary datasets and capabilities.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ind w:left="102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Efficiently advance our lead program, BGE-102, a potent, structurally novel, orally available, brain-penetrant small-molecule NLRP3 inhibitor in cardiometabolic disease and ophthalmology. </w:t>
      </w:r>
      <w:r>
        <w:rPr>
          <w:rFonts w:ascii="Times New Roman" w:cs="Times New Roman" w:eastAsia="Times New Roman" w:hAnsi="Times New Roman"/>
          <w:sz w:val="18"/>
          <w:szCs w:val="18"/>
          <w:color w:val="auto"/>
        </w:rPr>
        <w:t>BGE-102 has demonstrated potential best-in-class potency and efficacy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reducing hsCRP and other inflammatory markers in our Phase 1 trial. We plan to initiate a cardiovascular risk Phase 2a proof-of-concept trial in patients with obesity and elevated hsCRP in the first half of 2026 and expect to report results by 2026 year end. We are also pursuing diabetic macular edema as a second initial indication, with a Phase 1b/2a proof-of-concept trial planned to begin in mid-2026, with results anticipated in mid-2027.</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both oral and parenteral apelin receptor APJ agonists as a novel exercise mimetic approach for the treatment of obesity. </w:t>
      </w:r>
      <w:r>
        <w:rPr>
          <w:rFonts w:ascii="Times New Roman" w:cs="Times New Roman" w:eastAsia="Times New Roman" w:hAnsi="Times New Roman"/>
          <w:sz w:val="18"/>
          <w:szCs w:val="18"/>
          <w:color w:val="auto"/>
        </w:rPr>
        <w:t>We believe that APJ agonism has the potential to transform the treatment of obesity by increasing weight loss quantity and quality, including improved body composition and tolerability.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partner our product candidates to maximize patient impact and shareholder value. </w:t>
      </w:r>
      <w:r>
        <w:rPr>
          <w:rFonts w:ascii="Times New Roman" w:cs="Times New Roman" w:eastAsia="Times New Roman" w:hAnsi="Times New Roman"/>
          <w:sz w:val="18"/>
          <w:szCs w:val="18"/>
          <w:color w:val="auto"/>
        </w:rPr>
        <w:t>According to third-party estimates,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market opportunity for cardiometabolic diseases is very large, with GLP-1Rs and incretins for obesity alone expected to grow to $150 billion by 2031. Given the resulting activity and investment of pharmaceutical companies in the therapeutic area, we may selectively partner our product candidates to accelerate the path to market in multiple large indications and maximize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BGE-102: a Potential Best-in-Class NLRP3 Inhibitor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NLRP3 and inflammation — a predictor of decreased longevity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NLRP3 is a component of a multi-protein complex referred to as the inflammasome, part of the innate immune system. Activation of the NLRP3 inflammasome leads to the secretion of inflammatory cytokines interleukin 1 beta (IL-1ß) and interleukin 18 (IL-18). However, NLRP3 can become hyperactivated in certain disease states, resulting in sustained cytokine release and chronic sterile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123190</wp:posOffset>
            </wp:positionV>
            <wp:extent cx="2726055" cy="3634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605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NLRP3 dysregulation: in certain disease states, intrinsic stimuli like cellular stress and excess nutrients can result in NLRP3 hyperactivation, resulting in sustained cytokine cleavage and a chronic inflammatory state.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found that increased transcription of genes for NLRP3, IL-1ß, and IL-18 in our human aging cohorts was associated with significantly increased all-cause mortality risk. These findings align with human genetic evidence from Mendelian randomization studies, which demonstrate that a one standard deviation increase in NLRP3 expression is associated with up to a 70% increase in heart failure risk. Additionally, gain-of-function mutations in NLRP3 have been associated with reduced lean mass, impaired body composition, and accelerated atherosclerosis.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Consistent with our findings that NLRP3 can have detrimental effects on human longevity, previous studies have shown that genetic deletion of NLRP3 significantly extended mouse lifespan and also improved healthspan as measured by parameters such as muscle strength including muscle size and wire hang latency to fall, and cognitive function such as preserved contextual memory.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123190</wp:posOffset>
            </wp:positionV>
            <wp:extent cx="5460365" cy="2511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03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Levels of NLRP3-associated proteins (principal component) are inversely related to mortality risk in our human aging cohorts (left). Consistently, in a third-party preclinical study, knockout of the NLRP3 gene in mice significantly extends lifespan (n = 10 mice per group) (right). (Source: Marín-Aguilar et al. 2020).</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BGE-102, our lead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156845</wp:posOffset>
            </wp:positionV>
            <wp:extent cx="5760720" cy="3060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BGE-102 is a potent, orally available, structurally novel, brain-penetrant small-molecule NLRP3 inhibitor discovered through screening of a HitGen DNA-encoded chemical library and optimized through structure-activity relationship studies. Through a collaboration with Dr. Matthias Geyer at the University of Bonn, we identified a binding site on NLRP3 that is distinct from previously described inhibitors, including the reference compound MCC950, as confirmed by cryo-electron microscopy. Unlike MCC950 and related inhibitors, which have been reported to inhibit NLRP3 ATPase activity, BGE-102 has not demonstrated ATPase inhibition in our in vitro assays, suggesting a fundamentally distinct mechanism that may offer advantages in specificity or side effect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130810</wp:posOffset>
            </wp:positionV>
            <wp:extent cx="5760720" cy="199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BGE-102 has been shown to exhibit robust potency and favorable pharmacokinetic properties. In human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whole blood stimulation assays, BGE-102 achieves an IC90 (the concentration at which 90% target engagement is achieved) of 1.8 nanomolar for IL-1β. At 60 mg once daily, mean trough plasma concentrations provide approximately 24-hour IC90 coverage and ≥90% suppression of IL-1β. The compound penetrates the central nervous system, with a mean brain-to-plasma concentration ratio (Kp,uuCSF) of approximately 0.7 measured after 14 days of 120 mg once-daily dosing, exceeding the estimated IC90 for IL-1β suppression in the central nervous system. The safety margin at the 60 mg dose, based on exposures at Day 14 in the healthy volunteer MAD cohort, ranges from 42-fold to 90-fold relative to the no-observed-adverse-effect level (NOAEL) in 3-month GLP toxicology studies.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intellectual property portfolio includes composition of matter claims and claims covering the novel NLRP3 binding site, with patent protection extending through 2045 prior to patent term restoration.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clinical trial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Trial design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conducting a Phase 1 clinical trial designed to evaluate the safety, tolerability, pharmacokinetics, and pharmacodynamics of BGE-102 in both healthy volunteers and individuals with obesity. The entire study has been conducted in a clinical trial unit. The trial consisted of SAD cohorts, MAD cohorts in healthy volunteers, and ongoing MAD cohorts in obese participants with elevated baseline hsCRP.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wp:posOffset>
            </wp:positionV>
            <wp:extent cx="5760720" cy="285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BGE-102 has met key objectives to date. We anticipate completion of all Phase 1 cohorts and a full data readout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154305</wp:posOffset>
            </wp:positionV>
            <wp:extent cx="5349240" cy="2751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Safety profile and tolerability</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our Phase 1 trials, BGE-102 has been well tolerated across all completed cohorts. All adverse events observed to date have been mild to moderate in severity, self-limited in nature, and without apparent dose-dependency. We have observed no dose-limiting toxicities in any cohort.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Pharmacokinetics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Single dose pharmacokinetic studies demonstrated dose-proportional exposure across the 10 mg to 120 mg dose range, indicating linear pharmacokinetics within the studied dose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114300</wp:posOffset>
            </wp:positionV>
            <wp:extent cx="5323205" cy="3300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3205" cy="330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 w:name="page15"/>
    <w:bookmarkEnd w:id="1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multiple daily dosing, BGE-102 exhibits accumulation with once-daily dosing. Trough plasma concentrations reached approximate steady state by Day 14 of dosing, where mean trough concentrations at both the 60 mg and 120 mg once-daily doses exceeded the human IL-1β IC90.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114300</wp:posOffset>
            </wp:positionV>
            <wp:extent cx="5023485" cy="2991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2348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CNS Exposure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key differentiator of BGE-102 is its demonstrated ability to cross the blood-brain barrier and achieve therapeutically meaningful concentrations in cerebrospinal fluid (CSF). On Day 14 of MAD dosing at 60 mg once daily, mean CSF concentrations of BGE-102 approximated the human IL-1β IC90. At the 120 mg dose, mean CSF concentrations exceeded the IC90.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123190</wp:posOffset>
            </wp:positionV>
            <wp:extent cx="4105910" cy="3086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0591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CNS exposure differentiates BGE-102 from peripherally selective NLRP3 inhibitors and potentially enables BGE-102 to address neuroinflammatory indications.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engagement: IL-1β suppression</w:t>
      </w:r>
    </w:p>
    <w:p>
      <w:pPr>
        <w:spacing w:after="0" w:line="22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whole blood stimulation assays confirmed robust and sustained target engagement across all dosing cohorts. In the 60 mg MAD cohort,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BGE-102 achieved 90% suppression of IL-1β at trough concentrations on Day 14. In the 120 mg MAD cohort in healthy volunteers, IL-1β suppression reached 98% at trough on Day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123190</wp:posOffset>
            </wp:positionV>
            <wp:extent cx="4972050" cy="2451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720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Time-course pharmacodynamic data from the 120 mg cohort demonstrate that near-maximal IL-1β suppression was achieved by Day 7 and maintained throughout the entire 24-hour dosing interval, confirming sustained target engagement with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Inflammatory biomarkers in obese subjects with elevated baseline hsCRP</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healthy volunteers, we are conducting two additional MAD cohorts in obese patients with elevated baseline hsCRP. In these cohorts, we are evaluating circulating biomarkers of systemic inflammation. Results from the first cohort, 120 mg once daily, are reported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2263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07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the obese subjects, IL-1β suppression measured 93% at trough on Day 14, confirming that robust target engagement is also observed in subjects with elevated baseline hsCRP.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2837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7" w:name="page18"/>
    <w:bookmarkEnd w:id="1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obese subjects, BGE-102 achieved a median reduction in hsCRP of 86% by Day 14. The effect was evident earlier, with a median 83% reduction already observed on Day 7, suggesting rapid anti-inflammatory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114300</wp:posOffset>
            </wp:positionV>
            <wp:extent cx="4911725" cy="2914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117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median values, error bars show IQR (Q1-Q3); median baseline hsCRP 4.85 mg/L for active treatment and 4.25 mg/L for placebo.</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By Day 14, 93% of subjects receiving BGE-102 (13 of 14 subjects) achieved hsCRP levels below 2 mg/L. This threshold is clinically significant: in the landmark CANTOS trial (Canakinumab Anti-inflammatory Thrombosis Outcomes Study), participants who achieved on-treatment hsCRP below 2 mg/L experienced a 25% reduction in major adverse cardiovascular events (MACE; hazard ratio 0.75, p&lt;0.0001), while those who failed to achieve this threshold showed no significant benefit from anti-inflammatory therapy, establishing hsCRP normalization as a meaningful marker of therapeutic response. Furthermore, 71% of participants achieved hsCRP levels at or below 1 mg/L, a level associated with the lowest tertile of inflammatory risk in population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130810</wp:posOffset>
            </wp:positionV>
            <wp:extent cx="5400675" cy="2520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0067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median baseline hsCRP 4.85 mg/L for active treatment and 4.25 mg/L for placebo.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IL-6, a cytokine downstream of IL-1β signaling and a driver of hsCRP production, was also substantially reduced. At Day 7, BGE-102-treated subjects exhibited a median reduction in plasma IL-6 of 69%, compared to a 5% reduction in placebo recipients. By Day 14, the median IL-6 reduction in BGE-102 recipients was 58%, whereas placebo participants showed a 13% increase in IL-6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123190</wp:posOffset>
            </wp:positionV>
            <wp:extent cx="5408930" cy="3137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0893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Note: measurements performed using the Alamar NULISA platform given higher sensitivity below 2.5 pg/mL; in the median values, error bars show IQR (Q1-Q3); median baseline IL-6 2.3 pg/mL for active treatment and 1.3 pg/mL for placebo.</w:t>
      </w:r>
    </w:p>
    <w:p>
      <w:pPr>
        <w:spacing w:after="0" w:line="1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Fibrinogen, another circulating biomarker of systemic inflammation and an independent risk factor for thrombotic events, was reduced by a median of 30% at Day 14 in BGE-102 recipients, compared to a 1% increase in placebo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114300</wp:posOffset>
            </wp:positionV>
            <wp:extent cx="5648960" cy="2614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median values, error bars show IQR (Q1-Q3); median baseline fibrinogen 331 mg/dL for active treatment and 290 mg/dL for placebo.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two participants with elevated baseline CSF IL-6 (&gt;7 pg/mL), BGE-102 reduced CSF IL-6 levels by 84% at Day 14, with a corresponding 62% reduction in plasma IL-6. This finding demonstrates functional pharmacodynamic activity within the central nervous system and suggests that BGE-102 may have utility in neuroinflammatory conditions where NLRP3 activation contributes to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140335</wp:posOffset>
            </wp:positionV>
            <wp:extent cx="5760720" cy="2271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072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Note: *IL-6 levels &gt;7 pg/mL in the CSF are considered elevated; corresponding decrease in the plasma was 62%; measurements performed using the Alamar NULISA platform.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Anticipated development milestones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completion of the Phase 1 trial with a full data readout in the first half of 2026.</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subsequently intend to advance BGE-102 for both cardiometabolic disease and ophthalmology. In the first half of 2026, we plan to initiate a Phase 2a cardiovascular risk proof-of-concept trial in patients with obesity and elevated hsCRP, with results expected by 2026 year end. In mid-2026, we plan to initiate a Phase 1b/2a proof-of-concept trial in patients with DME, with results anticipated in mid-2027.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Atherosclerotic cardiovascular disease opportunity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Burden of cardiovascular disease and unmet need</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Cardiovascular disease remains the leading cause of death globally, responsible for approximately 20 million deaths annually. Within the spectrum of cardiovascular disease, ASCVD represents a major and growing burden. ASCVD is characterized by the progressive accumulation of cholesterol-laden plaques within arterial walls. These atherosclerotic plaques are inherently unstable and may rupture, triggering thrombotic events that manifest clinically as myocardial infarction, ischemic stroke, or sudden cardiac death.</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 therapeutic management of ASCVD focuses primarily on lipid modification through statins, PCSK9 inhibitors, and related agents; blood pressure management through antihypertensive agents; and antiplatelet therapy with aspirin and P2Y12 inhibitors. These therapies have substantially reduced cardiovascular morbidity and mortality over the past several decades. However, despite the widespread use and optimization of these evidence-based therapies, substantial residual cardiovascular risk persists in treated populations.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residual risk — affecting patients even after optimization of lipid and blood pressure targets — is increasingly attributed to chronic systemic inflammation, a pathway that current cardiovascular therapeutics do not adequately address. The resulting patient population with residual inflammatory risk is large and clinically important, currently lacking specific anti-inflammatory therapeutics in routine cardiovascular practice.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Inflammation and high-sensitivity C-reactive protein as independent cardiovascular risk factors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growing body of evidence supports inflammation as an independent driver of ASCVD. hsCRP, a circulating biomarker of systemic inflammation, has emerged as a robust predictor of cardiovascular risk that is independent of traditional lipid-based risk factors.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Women's Health Study, a prospective cohort study of approximately 28,000 women followed for 30 years and published in the New England Journal of Medicine, provides compelling evidence for the independent predictive value of hsCRP. In this study, women in the highest quintile of baseline hsCRP had a 67% increased risk of major adverse cardiovascular events (MACE) — comprising myocardial infarction, ischemic stroke, and cardiovascular death — compared to women in the lowest quintile (hazard ratio 1.67). Notably, this risk gradient exceeded the risk gradient observed for low-density lipoprotein (LDL) cholesterol (hazard ratio 1.37) and lipoprotein(a) (hazard ratio 1.32), establishing hsCRP as a powerful cardiovascular risk predictor that may exceed traditional lipid-based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130810</wp:posOffset>
            </wp:positionV>
            <wp:extent cx="5760720" cy="3017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072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Adapted from Ridker et al. 2024. Results for Fine-Gray model, adjusted for age and covariables.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Clinical validation that targeting inflammation can reduce cardiovascular events was provided by the CANTOS trial , a large, prospective, randomized controlled trial of canakinumab, a monoclonal antibody targeting IL-1β, a cytokine directly downstream of NLRP3, in patients with prior myocardial infarction and elevated hsCRP. In CANTOS, participants who achieved on-treatment hsCRP levels below 2 mg/L experienced a 25% reduction in major adverse cardiovascular events (hazard ratio 0.75, p&lt;0.0001) compared to those who did not achieve hsCRP normalization. Importantly, participants who failed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normalize hsCRP to below 2 mg/L showed no significant benefit from the active treatment, establishing hsCRP normalization as a meaningful therapeutic goal for reducing cardiovascular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2751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magnitude of residual inflammatory risk is substantial. At any given LDL cholesterol level, patients with elevated hsCRP have increased cardiovascular risk. This observation underscores that inflammation contributes to cardiovascular risk independently of dyslipidemia and, moreover, additively increases risk when elevated LDL cholesterol and elevated hsCRP coexist.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123190</wp:posOffset>
            </wp:positionV>
            <wp:extent cx="5031740" cy="3402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3174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NLRP3 inhibition as a cardiovascular target: mechanistic advantages over downstream cytokine inhibition.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NLRP3 inflammasome occupies a unique position within the inflammatory cascade relevant to cardiovascular disease, serving as a nodal point upstream of multiple inflammatory mediators implicated in atherosclerotic disease progression. Upon activation, NLRP3 triggers the secretion of IL-1β, which in turn drives the production of IL-6, which subsequently stimulates the hepatic production of hsCRP and fibrinogen. NLRP3 inhibition therefore targets the inflammatory cascade upstream of both IL-1β and IL-6, with the potential to suppress multiple downstream inflammatory pathways more comprehensively than selective targeting of any single cytokine.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Beyond its effects on IL-1β and the IL-6/hsCRP axis, NLRP3 inhibition offers potential mechanistic advantages that may prove clinically relevant. First, NLRP3 activation also drives the production of IL-18, an inflammatory cytokine that has emerged as an independent predictor of cardiovascular risk and that is not addressed by current anti-IL-6 or anti-IL-1β therapeutic approaches. In the CANTOS trial, patients in the highest tertile of baseline IL-18 had approximately 45% higher risk of cardiovascular death compared to patients in the lowest tertile (hazard ratio 1.44, P &lt; 0.0001; Ridker et al., European Heart Journal 2020), establishing IL-18 as an independent contributor to cardiovascular mortality. A therapy that suppresses both IL-18 and the IL-6/hsCRP axis through NLRP3 inhibition may therefore provide more comprehensive anti-inflammatory benefit than selective IL-6 or IL-1β blockade.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Second, NLRP3 inflammasome activation can trigger pyroptosis, a form of inflammatory cell death that releases intracellular contents and may contribute to atherosclerotic plaque destabilization. NLRP3 inhibitors can prevent pyroptosis, whereas anti-IL-6 and anti-IL-1β monoclonal antibodies do not address this mechanism. Pyroptosis inhibition may therefore represent an additional mechanism through which NLRP3 inhibition reduces cardiovascular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125730</wp:posOffset>
            </wp:positionV>
            <wp:extent cx="5760720" cy="2897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BGE-102's 86% median hsCRP reduction (obese participants with elevated baseline hsCRP, Day 14 of 120 mg QD dosing) is comparable to biologic approaches targeting the IL-1β and IL-6 pathways, and this effect was achieved with once-daily oral dosing rather than injectable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114300</wp:posOffset>
            </wp:positionV>
            <wp:extent cx="5263515" cy="3154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6351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cardiovascular market opportunity</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Cardiovascular risk reduction represents a substantial and growing therapeutic market. Approximately 25 million adults in the United States have a diagnosis of ASCVD, of whom approximately 60% — representing roughly 15 million individuals — have elevated hsCRP and may be candidates for anti-inflammatory therapy. The global market for lipid-lowering therapies is expected to reach approximately $50 billion by 2035, and an oral anti-inflammatory agent that reduces cardiovascular risk through a complementary mechanism could meaningfully expand the overall cardiovascular therapeutics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128270</wp:posOffset>
            </wp:positionV>
            <wp:extent cx="4191635" cy="2708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9163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distinction between an oral small-molecule inhibitor and injectable biologic therapies may represent a substantial practical and commercial advantage. All anti-IL-6 inhibitors in cardiovascular development are injectable monoclonal antibodies, administered subcutaneously on a monthly or quarterly basis. In contrast, BGE-102 is an oral, once-daily small molecule. The vast majority of patients treated for cardiovascular risk receive their care in settings where oral medications are the standard modality. An oral once-daily anti-inflammatory agent may therefore enable broader adoption and prescribing across both cardiology and primary care. Additionally, an oral formulation creates potential for fixed-dose combination products with statins, PCSK9 inhibitors, and GLP-1 receptor agonists — combinations that may improve patient convenience and treatment adherence, which are critical considerations in chronic cardiovascular disease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2a proof-of-concept trial in cardiovascular risk</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plan to initiate a dose-ranging Phase 2a cardiovascular risk proof-of-concept trial of BGE-102 in patients with obesity and elevated hsCRP in the first half of 2026. This trial is designed to confirm and extend the hsCRP and inflammatory biomarker effects observed in our Phase 1 obese cohorts and to further characterize the safety and tolerability of BGE-102 over an extended treatment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wp:posOffset>
            </wp:positionV>
            <wp:extent cx="5760720" cy="2614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Phase 2a trial will be a double-blind, randomized, placebo-controlled study enrolling approximately 160 patients with a 12-week treatment period. The primary endpoint is percent change in hsCRP from baseline to Week 12. Results are anticipated by 2026 year end.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Ophthalmology — Diabetic Macular Edema and Geographic Atrophy</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second target therapeutic area for BGE-102 is ophthalmology. NLRP3 inflammasome activation sits at the center of multiple retinal diseases, including DME and geographic atrophy (GA), which are prevalent conditions with substantial unmet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5494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549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843280</wp:posOffset>
            </wp:positionV>
            <wp:extent cx="5760720" cy="2726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BGE-102 possesses several characteristics that may differentiate it for retinal diseases: it is administered orally as a once-daily medication, eliminating the injection burden that limits long-term adherence with current intravitreal therapies and allowing simultaneous treatment of both eyes. We have demonstrated in preclinical studies across multiple species, including non-human primates, that BGE-102 achieves therapeutic concentrations in retinal tissue following oral administration. NLRP3 inhibition addresses both systemic and local drivers of retinal disease, and oral NLRP3 inhibition has the potential to have a broader effect than intravitreal anti-IL-6 approaches by sitting upstream in the inflammatory cascade while simultaneously addressing systemic disease drivers that local intravitreal therapies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130810</wp:posOffset>
            </wp:positionV>
            <wp:extent cx="5760720" cy="2374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DME is our first proof-of-concept indication in ophthalmology.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Diabetic macular edema</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Disease burden and unmet medical need. </w:t>
      </w:r>
      <w:r>
        <w:rPr>
          <w:rFonts w:ascii="Times New Roman" w:cs="Times New Roman" w:eastAsia="Times New Roman" w:hAnsi="Times New Roman"/>
          <w:sz w:val="18"/>
          <w:szCs w:val="18"/>
          <w:color w:val="auto"/>
        </w:rPr>
        <w:t>DME represents one of the leading causes of vision loss in the working-age population,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 million patients in the United States. DME develops as hyperglycemia and associated systemic inflammation drive vascular leakage within the retina, impairing central vision and reducing quality of life. Approximately 70% of DME patients develop vision-threatening edema in both eyes within one year of diagnosis.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Current standard-of-care therapies for DME rely predominantly on intravitreal anti-VEGF injections and intravitreal corticosteroid implants. These approaches face substantial clinical and practical limitations. Approximately 45% of DME patients demonstrate refractoriness to anti-VEGF therapy despite sustained treatment, suggesting that targeting a single effector molecule does not address the full pathophysiology of the disease. Adherence to the demanding injection regimen is challenging: approximately 50% of patients discontinue anti-VEGF injections after an average of six months, resulting in suboptimal real-world outcomes. Additionally, current ocular therapies do not address insulin resistance, a systemic metabolic factor that our analysis indicates is a key driver of DME.</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NLRP3 inflammasome in DME. </w:t>
      </w:r>
      <w:r>
        <w:rPr>
          <w:rFonts w:ascii="Times New Roman" w:cs="Times New Roman" w:eastAsia="Times New Roman" w:hAnsi="Times New Roman"/>
          <w:sz w:val="18"/>
          <w:szCs w:val="18"/>
          <w:color w:val="auto"/>
        </w:rPr>
        <w:t>In DME, hyperglycemia and oxidative stress activate NLRP3. Release of IL-1β and IL-18 stimulates IL-6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retinal tissue, which in turn promotes VEGF expression and vascular leakage; this process is exacerbated by pyroptosis in endothelial cells, compromising microvascular integrity. NLRP3 thus represents a mechanistic bridge between systemic metabolic dysregulation in diabetes and local pathological vascular permeability in the retina.</w:t>
      </w:r>
    </w:p>
    <w:p>
      <w:pPr>
        <w:spacing w:after="0" w:line="1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Growing clinical evidence supports the anti-inflammatory strategy in retinal disease. Several programs have explored intravitreal anti-IL-6 therapies in DME; studies by Roche, Kodiak, and EyePoint have demonstrated that reducing IL-6 in the eye can produce rapid improvements in best-corrected visual acuity and central subfield thickness within four to eight weeks of treatment. We believe that oral NLRP3 inhibition has the potential to have a broader effect by sitting upstream in the inflammatory cascade, while simultaneously addressing systemic metabolic drivers.</w:t>
      </w:r>
    </w:p>
    <w:p>
      <w:pPr>
        <w:spacing w:after="0" w:line="17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Preclinical evidence for BGE-102 in DME. </w:t>
      </w:r>
      <w:r>
        <w:rPr>
          <w:rFonts w:ascii="Times New Roman" w:cs="Times New Roman" w:eastAsia="Times New Roman" w:hAnsi="Times New Roman"/>
          <w:sz w:val="18"/>
          <w:szCs w:val="18"/>
          <w:color w:val="auto"/>
        </w:rPr>
        <w:t>In a streptozotocin-induced diabetic mouse model, oral BGE-102 demonstrated dose-dependent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preservation of retinal vascular permeability. Additionally, BGE-102 preserved blood-retina barrier tight junction proteins, including claudin-5.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113030</wp:posOffset>
            </wp:positionV>
            <wp:extent cx="5760720" cy="2785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diet-induced obese mice, BGE-102 improved insulin sensitivity as measured by HOMA-IR (Homeostatic Model Assessment for Insulin Resistance) to a degree comparable to semaglutide, a GLP-1 receptor agonist with well-established metabolic benefits. This improvement phenocopies the metabolic phenotype of Nlrp3-knockout mice (Vandanmagsar et 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2011) and provides evidence that BGE-102 has the potential to address the key driver of DME that current intravitreal therapies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180340</wp:posOffset>
            </wp:positionV>
            <wp:extent cx="5760720" cy="258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1b/2a proof-of-concept trial in DME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plan to initiate a Phase 1b/2a proof-of-concept trial of BGE-102 in patients with DME in mid-2026. The trial is designed to demonstrate pharmacodynamic activity of BGE-102 in the eye following oral administration and to evaluate its potential as an adjunctive therapy to anti-VEGF treatment and as a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wp:posOffset>
            </wp:positionV>
            <wp:extent cx="5760720" cy="2366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trial will be a randomized study with an 8-week treatment period. The primary endpoint is percent change in intraocular IL-6. We anticipate preliminary results in mid-2027.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Geographic atrophy</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Disease burden and unmet medical need. </w:t>
      </w:r>
      <w:r>
        <w:rPr>
          <w:rFonts w:ascii="Times New Roman" w:cs="Times New Roman" w:eastAsia="Times New Roman" w:hAnsi="Times New Roman"/>
          <w:sz w:val="18"/>
          <w:szCs w:val="18"/>
          <w:color w:val="auto"/>
        </w:rPr>
        <w:t>Geographic atrophy (GA), the advanced dry form of age-related macular degeneration (AMD), affects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 million patients in the United States. GA is characterized by progressive degeneration of the retinal pigment epithelium (RPE) and photoreceptors, resulting in irreversible loss of central vision. The disease progression is severe: approximately 20% of patients become legally blind within one year of diagnosis, significantly limiting independence and quality of life in an aging population.</w:t>
      </w:r>
    </w:p>
    <w:p>
      <w:pPr>
        <w:spacing w:after="0" w:line="1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Recent approvals of intravitreal complement inhibitors, including pegcetacoplan (Syfovre) and avacincaptad pegol (Izervay), have provided the first disease-modifying treatments for GA. However, their clinical efficacy is modest, slowing lesion growth by approximately 15% to 20% in treated eyes. Given this limited benefit relative to the burden of frequent intravitreal injections, approximately 90% of GA patients remain untreated. We believe there is substantial unmet need for oral therapies offering improved efficacy, simpler administration, and broader mechanistic activity.</w:t>
      </w:r>
    </w:p>
    <w:p>
      <w:pPr>
        <w:spacing w:after="0" w:line="17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NLRP3 inflammasome in GA. </w:t>
      </w:r>
      <w:r>
        <w:rPr>
          <w:rFonts w:ascii="Times New Roman" w:cs="Times New Roman" w:eastAsia="Times New Roman" w:hAnsi="Times New Roman"/>
          <w:sz w:val="18"/>
          <w:szCs w:val="18"/>
          <w:color w:val="auto"/>
        </w:rPr>
        <w:t>In GA, progressive accumulation of cellular debris (e.g. drusen, lipofuscin), along with Alu RNA, activates NLRP3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RPE cells and resident microglia. Chronic inflammasome activation and resulting pyroptosis contribute to progressive RPE degeneration and secondary photoreceptor loss.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Systemic inflammation is increasingly recognized as a risk factor for GA progression: elevated circulating inflammatory markers, including hsCRP and IL-6, have been associated with increased risk of AMD progression in epidemiological studies. As a result, systemic NLRP3 inhibition may offer advantages over regional intravitreal approaches.</w:t>
      </w:r>
    </w:p>
    <w:p>
      <w:pPr>
        <w:spacing w:after="0" w:line="17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Emerging clinical and preclinical evidence. </w:t>
      </w:r>
      <w:r>
        <w:rPr>
          <w:rFonts w:ascii="Times New Roman" w:cs="Times New Roman" w:eastAsia="Times New Roman" w:hAnsi="Times New Roman"/>
          <w:sz w:val="18"/>
          <w:szCs w:val="18"/>
          <w:color w:val="auto"/>
        </w:rPr>
        <w:t>Published preclinical studies support the relevance of NLRP3 to GA. In third-party studies, Nlrp3-knockout mice were completely protected against RPE degeneration induced by both drusen-associated pathogenic stimuli (amyloid-β oligomers) and endosomal damage caused by Alu 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wp:posOffset>
            </wp:positionV>
            <wp:extent cx="5760720" cy="2726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07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Adapted from Narendran et al. 2021 and Tarallo et al. 2012</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 natural aging model of AMD, oral administration of a BGE-102 analog almost completely prevented age-related lipofuscin accumulation, a cardinal feature of GA progression. These findings support the therapeutic hypothesis that NLRP3 inhibition may slow or arrest GA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2880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Clinical evidence further supports inflammasome inhibition in GA. A third-party clinical study of an inflammasome inhibitor (K8, an intravitreal implant, N=10) demonstrated a 53% reduction in GA lesion growth at three months (p=0.03 compared to fellow eye), substantially exceeding the approximately 15% reduction observed with approved complement inhibitors at 12 months. In a supporting epidemiological analysis, chronic exposure to fluoxetine, a compound with weak NLRP3 inhibitory activity at micromolar concentrations, was associated with a 22% reduction in incident AMD (hazard ratio 0.778, p&lt;0.001). While these epidemiological data are exploratory, this observation is consistent with the hypothesis that NLRP3 inhibition may slow progression of AMD/GA.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130810</wp:posOffset>
            </wp:positionV>
            <wp:extent cx="5760720" cy="2691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Right panel adapted from Ambati et al.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Apelin Receptor APJ Agonists: An Exercise Mimetic Approach for the Treatment of Obesity and Metabolic Disease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developing novel, potent agonists of the apelin receptor APJ, including both oral small-molecule and parenteral programs. Apelin is a molecule that is secreted in response to exercise, and activation of the apelin pathway has been shown to recapitulate many of the benefits of exercise. We have previously shown that the agonism of the apelin receptor APJ has the potential to double weight loss and fully restore body composition on a GLP-1R agonist background in preclinical models of obesity. We believe the combination of an APJ agonist and an incretin is a pharmacological parallel to diet and exercise: one mechanism relies largely on reducing energy intake, the other on increasing energy expenditure.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128270</wp:posOffset>
            </wp:positionV>
            <wp:extent cx="2108835" cy="24085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0883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Levels of the exercise-secreted protein apelin predicted both function and metabolic health in our longitudinal human aging cohorts.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aging process is characterized by profound dysregulation in many biological systems. Examining protein changes over decades in our longitudinal human aging cohorts, we observed that higher levels of circulating apelin were associated with both increased longevity and preservation of physical function (i.e., subjects with higher apelin levels lived longer, with improved health). We also observed that apelin levels are significantly associated with a range of metabolic traits in our human aging cohorts. These results led us to the therapeutic hypothesis that augmenting apelin signaling could provide therapeutic benefits in age-related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128270</wp:posOffset>
            </wp:positionV>
            <wp:extent cx="5426075" cy="2151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2607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Higher apelin protein levels predicted improved longevity and grip strength in our human aging cohorts (left). Levels were also associated with traits related to muscle function, adiposity, glucose control, and longevity (right). Glucose and insulin control measure the ability to regulate blood glucose increases via insulin secretion after a glucose challenge.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Enhancing apelin signaling can recapitulate many of the benefits of exercise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Apelin is a peptide hormone referred to as an exerkine, a signaling molecule released by skeletal muscle in response to exercise that mediates beneficial metabolic and functional adaptations to physical activity.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Comparing the physiological effects of enhanced apelin signaling to those of exercise reveals multiple areas of overlap:</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apelin and exercise have a beneficial effect on body composition, improving the ratio of lean to fat mass. The proportion of lean mass is a very strong predictor of functional capacity, metabolic health, and cardiovascular outcomes (and more predictive than absolute lean mass or absolute fat mass).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skeletal muscle, both apelin signaling and exercise boost protein synthesis, mitochondrial biogenesis and basal metabolic rate, thereby increasing resting energy expenditure.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muscle and adipose tissue, apelin and exercise increase insulin sensitivity, resulting in upregulation of glucose uptake and metabolism.</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striking congruence between the actions of apelin and exercise suggests that this peptide acts as a key molecular transducer of the systemic exercise response, and that targeting the apelin/APJ axis may be able to mimic many of the benefits of physical activity sometimes referred to as “exercise in a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140335</wp:posOffset>
            </wp:positionV>
            <wp:extent cx="3300095" cy="2400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009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3" w:name="page34"/>
    <w:bookmarkEnd w:id="3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Exercise ameliorates many of the negative health outcomes associated with aging. Circulating apelin levels increase acutely after exercise, with the magnitude of this response strongly predicting physical performance in older adults.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114300</wp:posOffset>
            </wp:positionV>
            <wp:extent cx="3488690" cy="2743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886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In a third-party preclinical study, apelin levels were significantly correlated with the benefits of exercise over 6 months. Older people (&gt; 70y) with the greatest increase in plasma apelin levels after 6 months of an exercise program had the highest improvement in Short Physical Performance Battery (SPPB) test score. Apelin measurements were taken from 34 individuals. r</w:t>
      </w: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8"/>
          <w:szCs w:val="18"/>
          <w:i w:val="1"/>
          <w:iCs w:val="1"/>
          <w:color w:val="auto"/>
        </w:rPr>
        <w:t xml:space="preserve"> represents the correlation coefficient, a statistical measure of the strength of a linear relationship between two variables. A correlation coefficient of -1 describes a perfect negative, or inverse, correlation. A coefficient of 1 shows a perfect positive correlation, or a direct relationship. A correlation coefficient of 0 means there is no linear relationship. The p-value is used to determine the probability as to whether the difference between two data sets is due to chance. The smaller the p-value, the more likely the differences are not due to chance alone. In general, if the p-value is less than or equal to 0.05, the outcome is considered statistically significant. (Source: Vinel et al. 2018).</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However, both basal levels of apelin and the degree of exercise-induced elevation of the peptide decline with age, coinciding with deterioration of fitness and muscle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114300</wp:posOffset>
            </wp:positionV>
            <wp:extent cx="3720465" cy="3557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20465"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a third-party preclinical study, apelin expression in mice significantly decreased with age (n= 6 mice per group). There was also a lower magnitude increase in apelin expression in response to exercise with age, with no significant increase observed in the 24 month group. In mice, 12 months represents middle age and 24 months old age. #p&lt; 0.05; *p&lt; 0.05; ** p&lt; 0.01. (Source: Vinel et al. 2018).</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relationship between apelin, exercise and function over the lifespan, taken together with the correlation between apelin levels and muscle-related health parameters observed in our longitudinal cohorts, suggest that apelin may help mediate the beneficial anti-aging effects of exercise.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Apelin activates key metabolic regulators AMPK, PI3K, and ERK</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molecular mechanisms of apelin pathway signaling are well characterized. As depicted in the figure below, the physiological effects of apelin in target cells are mediated by the apelin receptor (APJ/APLNR), a G protein-coupled receptor that activates multiple intracellular signaling pathways including AMP-activated protein kinase (AMPK) and PI3K. In parallel, via recruitment of ß-arrestin upon apelin binding, APJ activates extracellular signal regulated kinase (ERK). These pathways are involved in metabolic processes consistent with apelin’s role as an exerkine, including glucose uptake, mitochondrial biogenesis, and fatty acid oxidation.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145415</wp:posOffset>
            </wp:positionV>
            <wp:extent cx="3343275" cy="2794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327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APJ is a G protein-coupled receptor that signals through AMPK and PI3K. AMPK and PI3K activate downstream effectors Akt and endothelial nitric oxide synthase (eNOS), which increase cellular glucose uptake. AMPK activates transcriptional coactivator PGC-1a, which increases mitochondrial biogenesis. AMPK directly increases fatty acid oxidation. APJ also activates ERK signaling through ß-arrestin. (Source: Bertrand et al. 2015).</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Genetic evidence supports the potential of APJ agonists to improve metabolism</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Genetic studies of apelin in mice published by other groups provide support for the potential role of APJ agonists in the treatment of obesity. Inactivation of the gene for apelin was shown to result in mice with a statistically significant increase in fat content compared to similarly treated wild-type mice. Apelin knockout mice fed a high fat diet for three weeks also had significantly decreased insulin sensitivity compared to similarly treated wild-type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142875</wp:posOffset>
            </wp:positionV>
            <wp:extent cx="5511800" cy="2100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1180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a third-party preclinical study, inactivation of the gene for apelin (APKO) in mice led to a significant increase in fat content compared to wild-type counterparts (p&lt;0.05) (n =10–15 mice per group). In a separate third-party preclinical study, APKO mice had significantly worse performance on an insulin tolerance test (p&lt;0.01) (n= 6 –7 mice per group). (Source: Yue et al. 2010, Yue et al. 2011).</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contrast, transgenic mice with overexpressed apelin showed several metabolic benefits. Animals were significantly protected from weight gain when placed on a high fat diet. This was not due to a decrease in food intake, but instead to an increased metabolic rate. Consistent with apelin’s role as an exerkine, transgenic apelin mice also had increased skeletal muscle mitochondrial biogenesis and increased oxygen intake compared to wild-type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142875</wp:posOffset>
            </wp:positionV>
            <wp:extent cx="5760720" cy="1868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6072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a third-party preclinical study, overexpression of apelin in a transgenic mouse (Tg) resulted in significantly reduced weight when fed a high fat diet compared to wild-type control mice (Cont) (p&lt;0.001) (n= 19–24 mice per group). Tg mice had a significantly higher basal metabolic rate than their wild-type counterparts on a high fat diet (p&lt;0.01) (n= 7-9 mice per group) with no significant difference in food intake (n= 19–24 mice per group). (Source: Yamamoto et al. 2011).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7" w:name="page38"/>
    <w:bookmarkEnd w:id="3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Human genetics are consistent with findings in interventional genetic studies in mice. Significant genome-wide associations have been reported at the apelin receptor, APJ, and body mass index, lean body mass and serum lipid levels across diverse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131445</wp:posOffset>
            </wp:positionV>
            <wp:extent cx="5460365" cy="2271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6036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results in a diet-induced obesity mouse model demonstrate the potential of apelin receptor APJ agonists to increase weight loss quantity and quality</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evaluated the effects of an investigational oral small molecule APJ agonist, azelaprag, on weight loss and other outcomes in a diet-induced obesity mouse model.</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Azelaprag, in combination with tirzepatide, restored body weight and body composition of obese mice to lean control levels. Tirzepatide monotherapy led to a reduction in body weight of approximately 15% at the dose tested. The addition of azelaprag to tirzepatide treatment led to further significant, dose-dependent decreases in body weight, with 40% weight reduction by three weeks in the highest dose group.</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correcting total weight back to lean control levels, the addition of azelaprag in combination with tirzepatide also restored the body composition of obese mice to that of lean controls in a significant, dose-dependent fashion. The proportion of lean body mass increased while that of fat decreased over the three-week dosing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context of clinical care, body composition — and specifically the proportion of lean mass — is highly predictive of multiple health outcomes including physical function, metabolic health and cardiovascular outcomes (and more predictive than absolute levels of lean or fat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53975</wp:posOffset>
            </wp:positionV>
            <wp:extent cx="5760720" cy="2520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6072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combination of azelaprag and tirzepatide resulted in significant, dose-dependent increases in overall weight loss compared to tirzepatide monotherapy in diet-induced obesity mouse model (left), as well as full restoration of body composition (% lean, % fat, lean / fat ratio) of obese mice to that of lean controls (middle, right). Lean and fat mass were measured by EchoMRI. Group size: n=6-14 per group. Tirzepatide (10nmol/kg) vs. tirzepatide (10nmol/kg) + azelaprag (1.1g/l) on day 20: p&lt;0.0001 for all measurements.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Case Study: azelaprag results demonstrate the potential of apelin receptor APJ agonists to function as an exerkine mimetic to improve body composition and metabolism</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completed a double-blind, non-randomized Phase 1b bed rest atrophy trial of apelin receptor APJ agonist, azelaprag, in 21 healthy individuals 65 years of age or older. Bed rest studies are a well-established method to model muscle and functional aging on a compressed timeline. In the trial, subjects on bed rest for 10 days received daily doses of 240 mg azelaprag or placebo delivered by intravenous infusion.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observed that treatment with azelaprag significantly decreased (p&lt;0.05) bed-rest-induced muscle atrophy across multiple endpoints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53975</wp:posOffset>
            </wp:positionV>
            <wp:extent cx="5760720" cy="1911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07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Overview endpoints and significance of results from the azelaprag bed rest atrophy Phase 1b trial. Thigh circumference results are shown as an example at right: 10 days of bed rest led to a mean decrease of 6.4% in thigh circumference in subjects that received placebo. By contrast, we observed no significant decrease in thigh circumference in subjects dosed with azelaprag.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terminated development of azelaprag, an orally available small molecule agonist of APJ, for obesity and other chronic diseases. The decision followed observations of liver transaminitis without clinically significant symptoms, and without clear dose dependence, in some patients in the azelaprag arms of the STRIDES Phase 2 clinical trial for obesity.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However, we believe the results of the azelaprag Phase 1 trials demonstrate the potential of apelin receptor APJ agonists; therefore, we are advancing distinct, orally available apelin receptor APJ agonists as a novel exercise mimetic approach for the treatment of obesity.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strategy and timelines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advancing APJ agonists through both oral and parenteral development pathways to maximize the potential of this therapeutic approach across different clinical contexts and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114300</wp:posOffset>
            </wp:positionV>
            <wp:extent cx="5340350" cy="3060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035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Oral APJ agonist program. </w:t>
      </w:r>
      <w:r>
        <w:rPr>
          <w:rFonts w:ascii="Times New Roman" w:cs="Times New Roman" w:eastAsia="Times New Roman" w:hAnsi="Times New Roman"/>
          <w:sz w:val="18"/>
          <w:szCs w:val="18"/>
          <w:color w:val="auto"/>
        </w:rPr>
        <w:t>We have filed composition of matter intellectual property protecting novel small molecule APJ agonists with picomolar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potency. These compounds are based on an innovative chemical scaffold and achieve agonist potency comparable to native apelin-13, the endogenous ligand. We intend to characterize these compounds further and advance the most promising candidate toward IND-enabling studies.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Parenteral APJ agonist program. </w:t>
      </w:r>
      <w:r>
        <w:rPr>
          <w:rFonts w:ascii="Times New Roman" w:cs="Times New Roman" w:eastAsia="Times New Roman" w:hAnsi="Times New Roman"/>
          <w:sz w:val="18"/>
          <w:szCs w:val="18"/>
          <w:color w:val="auto"/>
        </w:rPr>
        <w:t>In June 2025, we announced an option agreement with JiKang Therapeutics for a novel APJ agonist nanobody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single-domain antibody derived from camelid immunoglobulin. The nanobody demonstrates approximately 10-fold greater agonist potency than native apelin and is optimized for subcutaneous administration, providing a longer-acting modality suitable for chronic obesity treatment. We are conducting preclinical characterization and advancing this program toward IND-enabling studies.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file the first IND for an APJ program by the end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evolving obesity treatment landscape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Obesity disease overview: a growing driver of both morbidity and healthcare spending</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Obesity is a complex medical disorder that has been described as an accelerated aging condition, as it increases the risk of both morbidity and mortality from age-related chronic disease. It involves both appetite dysregulation and altered lipid and energy metabolism, which in turn result in excessive accumulation of fat tissue. Globally, over 875 million adults age 20+ are living with obesity, defined as a body mass index (BMI) of 30 or greater. Furthermore, the worldwide prevalence of obesity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adults 20+ more than doubled from under 7% in 1990 to over 16% in 2022. The global estimated cost of overweight and obesity is in the trillions of dollars, representing more than 2% of the global gross domestic product.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Obesity is associated with over 200 health comorbidities and complications, including many cardiometabolic disorders. Among obese patients, the prevalence of these conditions is high: 19-23% have type 2 diabetes, dyslipidemia (66-70%), hypertension (51-61%), metabolic dysfunction-associated steatohepatitis (30-36%), and heart disease (3-5% congestive heart failure, 8% ischemic heart disease, 21% myocardial infarction). Obesity is also associated with an increased risk of developing infertility and certain cancers. Weight loss leads to improvements across many comorbidities associated with obesity.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128270</wp:posOffset>
            </wp:positionV>
            <wp:extent cx="5074920" cy="2828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7492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Obesity treatment landscape: incretin drugs are transforming care, creating an important clinical and commercial opportunity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treatment landscape for obesity has undergone a fundamental transformation with the emergence of GLP-1R agonists. Injectable GLP-1R agonists, including semaglutide (Wegovy) and tirzepatide (Zepbound), have demonstrated unprecedented efficacy in achieving sustained weight loss and improving cardiometabolic risk factors. In pivotal clinical trials, injectable semaglutide produced approximately 15% weight loss; tirzepatide, a dual GLP-1R/GIP receptor agonist, produced approximately 21% weight loss.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commercial success of injectable GLP-1R agonists has been significant. The global market for GLP-1R agonists is projected to exceed $150 billion by 2031, driven by expanding indications beyond obesity and diabetes, new oral and combination formulations, and increasing treatment penetration across broader patient populations. The scale of this market reflects both the severity of the underlying unmet need and the magnitude of the commercial opportunity for therapies that can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address the limitations of current incretin-based approaches — limitations that we believe APJ agonism is well positioned to complement.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154305</wp:posOffset>
            </wp:positionV>
            <wp:extent cx="4123055" cy="2914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2305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unmet needs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Despite the advances represented by GLP-1R agonist therapy, substantial unmet medical needs persist in obesity treatment. These unmet needs span three critical dimensions: oral efficacy parity with injectables, gastrointestinal tolerability, and preservation of body composition during weight loss. Current therapeutic approaches address only a subset of these needs, leaving significant therapeutic gaps.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123190</wp:posOffset>
            </wp:positionV>
            <wp:extent cx="5408930" cy="3103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0893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Oral weight loss. </w:t>
      </w:r>
      <w:r>
        <w:rPr>
          <w:rFonts w:ascii="Times New Roman" w:cs="Times New Roman" w:eastAsia="Times New Roman" w:hAnsi="Times New Roman"/>
          <w:sz w:val="18"/>
          <w:szCs w:val="18"/>
          <w:color w:val="auto"/>
        </w:rPr>
        <w:t>Oral GLP-1R agonist programs have generally underperformed relative to injectable formulations. Oral approaches employing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permeation enhancers and structural modifications have achieved weight loss in the range of 7% to 12%, substantially lower than the 15% to 24% weight loss achieved by injectable GLP-1R agonists and triple agonists. This efficacy gap — representing approximately a 50% reduction in weight loss from injectable to oral formulation — limits the clinical utility of oral approaches as monotherapy and reflects fundamental challenges in achieving adequate intestinal permeability and systemic bioavailability of peptide-based GLP-1R agonists via the oral route.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Tolerability</w:t>
      </w:r>
      <w:r>
        <w:rPr>
          <w:rFonts w:ascii="Times New Roman" w:cs="Times New Roman" w:eastAsia="Times New Roman" w:hAnsi="Times New Roman"/>
          <w:sz w:val="18"/>
          <w:szCs w:val="18"/>
          <w:color w:val="auto"/>
        </w:rPr>
        <w:t>. Gastrointestinal side effects represent a substantial barrier to tolerability and adherence with incretin-based obesity therapeutics.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2 and Phase 3 clinical trials, gastrointestinal adverse events — including nausea, vomiting, constipation, and diarrhea — occur in 31% to 44% of patients treated with injectable incretin agonists and in 58% to 87% of patients treated with oral incretin programs. These side effects are dose-dependent and frequently motivate dose reductions or treatment discontinuation. In controlled clinical trials, discontinuation due to adverse events reaches approximately 17%, and real-world discontinuation rates are substantially higher, with some analyses indicating discontinuation in up to 68% of patients. The tolerability barrier thus represents a major impediment to treatment initiation, dose escalation, and treatment persistence in a substantial proportion of patients with obesity.</w:t>
      </w:r>
    </w:p>
    <w:p>
      <w:pPr>
        <w:spacing w:after="0" w:line="18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Body composition</w:t>
      </w:r>
      <w:r>
        <w:rPr>
          <w:rFonts w:ascii="Times New Roman" w:cs="Times New Roman" w:eastAsia="Times New Roman" w:hAnsi="Times New Roman"/>
          <w:sz w:val="18"/>
          <w:szCs w:val="18"/>
          <w:color w:val="auto"/>
        </w:rPr>
        <w:t>. A fundamental limitation of current obesity therapeutics, including GLP-1R agonists, is that weight loss achieved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appetite suppression is not accompanied by preferential loss of adipose tissue. Rather, a substantial proportion of weight loss represents loss of lean muscle mass. Clinical data indicate that up to 50% of weight lost during GLP-1R agonist treatment may comprise lean body mass rather than adipose tissue.</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loss of lean mass during weight loss carries profound physiological consequences. Lean mass, primarily skeletal muscle, is the principal contributor to basal metabolic rate — the energy expenditure required at rest to maintain basic cellular and organ function. When lean mass is lost disproportionately during weight loss, basal metabolic rate decreases, reducing daily energy expenditure. This metabolic adaptation creates a disadvantage: the patient, now at a lower body weight, has a substantially reduced caloric requirement and is thus more susceptible to weight regain even when consuming the same number of calories that previously maintained the lower weight. Furthermore, loss of lean mass increases frailty risk, impairs physical function, and may accelerate age-related physical decline, particularly in older adults with obesity.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particularly concerning manifestation of lean mass loss during weight loss therapy is increased bone fragility and fracture risk. In the SELECT trial (Semaglutide Effects on Cardiovascular Outcomes in People with Overweight or Obesity), a large randomized controlled trial of semaglutide in patients with obesity and established cardiovascular disease, an approximately 5-fold increase in hip and pelvis fractures was observed in female participants treated with semaglutide compared to placebo, a finding that has prompted re-evaluation of the benefit-risk profile in populations at elevated baseline fracture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APJ agonism in obesity</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combination of APJ agonism with GLP-1R/GIP agonists represents a therapeutically rational approach based on complementary mechanisms of action — appetite suppression plus energy expenditure enhancement — and supported by preclinical evidence of additive effects on body weight and composition. We believe this combination approach may address multiple unmet needs simultaneously: the dual oral and parenteral portfolio provides formulation flexibility, the complementary mechanism may reduce reliance on maximal doses of appetite-suppressing agents with associated GI side effects, and the energy expenditure and lean mass preservation properties may improve body composition outcomes.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for Discovery of Novel Targets that Drive Human Metabolic Aging</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built a target discovery capability specifically designed to identify and validate drug targets that drive metabolic aging and age-related diseases in humans. Our approach combines:</w:t>
      </w:r>
    </w:p>
    <w:p>
      <w:pPr>
        <w:spacing w:after="0" w:line="50" w:lineRule="exact"/>
        <w:rPr>
          <w:sz w:val="20"/>
          <w:szCs w:val="20"/>
          <w:color w:val="auto"/>
        </w:rPr>
      </w:pPr>
    </w:p>
    <w:p>
      <w:pPr>
        <w:jc w:val="both"/>
        <w:ind w:left="1020" w:hanging="503"/>
        <w:spacing w:after="0" w:line="26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longitudinal cohorts of naturally aging individuals. </w:t>
      </w:r>
      <w:r>
        <w:rPr>
          <w:rFonts w:ascii="Times New Roman" w:cs="Times New Roman" w:eastAsia="Times New Roman" w:hAnsi="Times New Roman"/>
          <w:sz w:val="18"/>
          <w:szCs w:val="18"/>
          <w:color w:val="auto"/>
        </w:rPr>
        <w:t>We have generated proprietary datasets based on serial biological samples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cohort studies that satisfy a set of unusual and valuable requirements for the study of aging biology: (1) being composed of healthy aging adults originally recruited decades in the past, (2) having followed subject outcomes and collected deep healthspan data continuously to the present day, and (3) having collected longitudinal biosamples that have also been maintained to the present day.</w:t>
      </w:r>
    </w:p>
    <w:p>
      <w:pPr>
        <w:spacing w:after="0" w:line="68"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Serial multi-omic molecular profiling. </w:t>
      </w:r>
      <w:r>
        <w:rPr>
          <w:rFonts w:ascii="Times New Roman" w:cs="Times New Roman" w:eastAsia="Times New Roman" w:hAnsi="Times New Roman"/>
          <w:sz w:val="18"/>
          <w:szCs w:val="18"/>
          <w:color w:val="auto"/>
        </w:rPr>
        <w:t>Through partnerships with companies using state-of-the-art molecular profiling techniques,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quantified thousands of components from these samples, such as proteins and metabolites, with high sensitivity.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3" w:name="page44"/>
    <w:bookmarkEnd w:id="43"/>
    <w:p>
      <w:pPr>
        <w:jc w:val="both"/>
        <w:ind w:left="102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science analysis. </w:t>
      </w:r>
      <w:r>
        <w:rPr>
          <w:rFonts w:ascii="Times New Roman" w:cs="Times New Roman" w:eastAsia="Times New Roman" w:hAnsi="Times New Roman"/>
          <w:sz w:val="18"/>
          <w:szCs w:val="18"/>
          <w:color w:val="auto"/>
        </w:rPr>
        <w:t>We have developed a suite of analytic approaches allowing us to integrate longitudinal molecular profiles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and health outcome data to directly decode the biology that drives disparate aging trajectories and metabolic aging and related health outcomes and identify novel drug targets for treating metabolic disease.</w:t>
      </w:r>
    </w:p>
    <w:p>
      <w:pPr>
        <w:spacing w:after="0" w:line="6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Expertise in aging biology. </w:t>
      </w:r>
      <w:r>
        <w:rPr>
          <w:rFonts w:ascii="Times New Roman" w:cs="Times New Roman" w:eastAsia="Times New Roman" w:hAnsi="Times New Roman"/>
          <w:sz w:val="18"/>
          <w:szCs w:val="18"/>
          <w:color w:val="auto"/>
        </w:rPr>
        <w:t>We apply our knowledge of the aging process, including our own large colony of naturally aged rodents,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validate potential drug targets in relevant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of age-related metabolic disorders.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Technology-forward approach to clinical trials. </w:t>
      </w:r>
      <w:r>
        <w:rPr>
          <w:rFonts w:ascii="Times New Roman" w:cs="Times New Roman" w:eastAsia="Times New Roman" w:hAnsi="Times New Roman"/>
          <w:sz w:val="18"/>
          <w:szCs w:val="18"/>
          <w:color w:val="auto"/>
        </w:rPr>
        <w:t>We aim to maximize the value of our clinical trials by leveraging advanced analytic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approaches to quantify participants’ biology and health, derive mechanistic insights, and link trial observations back to long-term healthspan outcomes from our natural aging cohorts. Examples from prior and ongoing trials include plasma proteomic profiling, wearable devices, protein synthetic rate analysis, and single-nucleus RNA sequencing of biopsy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142875</wp:posOffset>
            </wp:positionV>
            <wp:extent cx="4046220" cy="17741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4622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BioAge platform encompasses over 150 million molecular data points spanning over 25 thousand individual participant profiles and over 50 years of follow-up.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Approach for identifying novel targets based on unique insights into human aging biology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negotiated favorable agreements with biobanks to access long-term longitudinal cohorts of individuals with serially biobanked samples who were enrolled as healthy adults and followed for up to 50 years.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these cohorts, we have detailed medical outcomes and physiological measurements systematically collected over the course of these studies, including lifespan outcomes, such as all-cause and disease-specific mortality; functional healthspan outcomes such as grip strength and walking speed; and disease outcomes such as cognitive scores and dementia diagnoses, cardiovascular disease progression, BMI and skinfold thickness.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biobanks to which we have secured access are from distinct geographical regions and include samples from individuals whose demographics are representative of those regions, enabling us to identify aging processes that are conserved across populations and environmental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114300</wp:posOffset>
            </wp:positionV>
            <wp:extent cx="4166235" cy="3566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6623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 of longitudinal lifespan and health outcomes captured in human aging cohorts. CVD: Cardiovascular. ApoE: Apolipoprotein 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partner with organizations and companies leading the development of highly sensitive multi-omic molecular profiling technologies, including SomaLogic and Metabolon, to identify and quantify components of longitudinally biobanked serum and plasma specimens from our aging cohorts. The capabilities that these organizations and companies bring allow us to generate molecular profiles with more detail than had previously been possible.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combine proteomics and metabolomics with orthogonal data such as clinical outcomes and healthspan phenotypes to obtain insights into the underlying pathways and potential targets that predispose individuals to age more quickly or be more resistant to developing multi-morbidity. Our goal as a company is to use these insights to develop pharmaceuticals that can treat a range of metabolic diseases driven by aging.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previously shared the identification of apelin and NLRP3 from our platform. Beyond these targets, there are many promising targets emerging from our data sets. The figure below highlights the many proteins that have significant signals for both longevity as well as multiple health outcomes in our cohort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140335</wp:posOffset>
            </wp:positionV>
            <wp:extent cx="4877435" cy="2125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774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Circulating proteins are shown based on their magnitude of association with mortality (hazard ratio) in the BioAge human aging cohorts. Proteins are color coded based on significant associations (p&lt;0.05) with future healthspan outcomes representing different organ systems, including grip strength (muscle aging), cognitive scores (brain aging), renal function quantified with cystatin C (kidney aging), and cardiovascular aging. A protein was considered significant for cardiovascular aging if significantly associated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 of the following risk factors: total cholesterol, HDL, LDL, systolic or diastolic BP, fasting glucose, CRP, MCP-1 and ICAM-1.</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Longevity Map (as defined below) is the result of applying an aging-biology-focused analytic approach that integrates proprietary data originating from our human aging cohorts with public data on aging and target biology to generate powerful insights into human aging mechanisms and targets. Our core analytical pipeline leverages (among other approaches):</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 multi-omic and clinical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across multiple datasets and data modalities,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based propagation of biological signals,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causal evidence from genetic signals via a bespoke mendelian randomization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171450</wp:posOffset>
            </wp:positionV>
            <wp:extent cx="5332095" cy="31203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3209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BioAge Longevity Map integrates novel aging biology and public data to derive insights into aging biology and resulting therapeutic targets.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advancing several additional platform targets, currently in molecule discovery stage in collaboration with Lilly, which we believe have the potential to transform treatment of metabolic disease. We plan to expand this pipeline over time, both internally and through the target discovery collaboration with Novartis, and potentially through additional partnerships with pharmaceutical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oversee and manage contract development and manufacturing organizations (CDMOs) to support development and manufacture of product candidates for our clinical trials. We expect our strategy to use CDMOs will enable us to maintain a more efficient infrastructure, avoiding the necessity to acquire our own manufacturing facility and equipment, while simultaneously enabling us to focus our expertise on the clinical development and the potential future commercialization of our products. Currently, we rely on and have agreements with multiple third-party CDMOs to manufacture and supply active pharmaceutical ingredients (APIs) and drug products (DPs) for our clinical trials. To prepare for advancement of our drug candidates to Phase 3 clinical trials, we anticipate the need to enter into a manufacture and supply agreement with, and transfer API and DP manufacture to, one or more additional third-party CDMOs with whom we would also likely enter into commercial supply agreements prior to any potential regulatory approval if any of our drug candidates are commercialized. The DP for our drug candidates is manufactured via conventional pharmaceutical processing procedures, employing commonly used and commercially available excipients and packaging materials. The procedure and equipment employed for manufacture and analysis are consistent with standard organic synthesis or pharmaceutical production, and are transferable to a range of manufacturing facilities, if needed.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evolution of technologies, fierce competition and strong defense of intellectual property. While we believe that our platform,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for the indications for which we expect to conduct clinical trials, they will compete with existing therapies and currently marketed drugs, as well as any drug products currently or in the future in development that are ultimately approved, that are potential treatments for metabolic diseases, such as obesity. It is also possible that we will face competition from other pharmaceutical approaches as well as other types of therapies. The key competitive factors affecting the success of all our programs, if approved, are likely to be their efficacy, safety, convenience, price, level of generic competition, and availability of reimbursement.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With respect to BGE-102, direct competition is currently limited as there are no approved NLRP3 inhibitors or other inflammasome-targeted therapeutics. However, we are aware of NLRP3 inhibitor pipeline programs including those from Ventyx Biosciences (pending acquisition by Eli Lilly), NodThera, Roche, Merck, Novo Nordisk, AstraZeneca, Neumora, Ventus, Tenvie, Insilico, Brenig, and Zydus. Our competitors for the apelin receptor APJ agonist program include Structure Therapeutics, Bristol Myers Squibb, APIE Therapeutics and Sanofi, S.A. who have or had small molecule APJ agonists in preclinical or clinical development.</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increasing competition as new therapies and combinations thereof, and related data emerge. Competitors, independently or through collaboration, are developing products that potentially directly compete with our current or future product candidates and which may (i) be a longer lasting or a more efficacious treatment, or better tolerated or (ii) receive FDA or other applicable regulatory approval more rapidly than our current or future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sought patent protection in the United States and internationally related to our novel drugs, including compositions of matter directed both specifically and generically to our leads and backup compounds and corresponding methods of use directed to various clinical indications of the same, and other inventions and improvements that are central to our research and development efforts. In addition, we intend to seek additional patent protection which may enhance commercial success to the extent warranted by future developments.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20, 2026, our intellectual property portfolio contained owned and in-licensed cases and contains several issued U.S. and foreign national patents, and multiple pending U.S., Patent Cooperation Treaty (PCT) and foreign national applications. These patent families are expected to expire between 2032 and 2046, excluding patent term adjustments, extensions or terminal disclaimers, and assuming payment of all appropriate maintenance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APJ Agonist Program</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20, 2026, we owned one patent family relating to novel apelin receptor APJ agonists and related methods. This patent family includes three U.S. provisional applications having filing dates of May 27, 2025; September 17, 2025; and January 7, 2026. Any patents that may issue and claim priority to the pending applications are expected to expire in 2046, without taking into account any patent term adjustments, extensions or terminal disclaimers, and assuming payment of all appropriate maintenance fees.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20, 2026, we had optioned to license one patent family from JiKang Therapeutics relating to a novel APJ agonist antibody. This patent family includes one PCT non-provisional application, and any patents that may issue and claim priority to the pending application are expected to expire in 2046, without taking into account any patent term adjustments, extensions or terminal disclaimers, and assuming payment of all appropriate maintenance fees.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20, 2026, we had in-licensed one patent family from INSERM relating to use of the class of apelin receptor agonists for treating sarcopenia. This patent family includes one U.S. Patent, and foreign national patents in Japan and Europe (with validation in 5 European states), which patents are expected to expire in 2032, without taking into account any patent term adjustments, or extensions, and assuming payment of all appropriate maintenance fees.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February 20, 2026, we owned six patent families relating to methods of using APJ agonists, including therapeutic uses for frailty, muscle atrophy, or obesity. These patent families include six pending U.S. and PCT non-provisional applications, and 34 pending foreign national applications, including applications in Australia, Brazil, Canada, China, Europe, Israel, Japan, Korea, Mexico, New Zealand, Singapore and Taiwan. Any patents that may issue from our pending patent applications or claim priority to pending provisional applications are expected to expire between 2042 and 2045, without taking into account any patent term adjustments, extensions or terminal disclaimers, and assuming payment of all appropriate maintenance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NLRP3 Inhibitor Program</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February 20, 2026, we owned eleven patent families relating to novel NLRP3 (nucleotide binding oligomerization domain-like receptor family pyrin domain-containing 3) inhibitors and related methods. One of these patent families is co-owned with HitGen, Inc. The eleven patent families include eight issued U.S. patents (one co-owned with HitGen that is under our exclusive control, and seven solely-owned by BioAge), five pending U.S. provisional applications, nine pending U.S. and PCT non-provisional applications, and 40 pending foreign national applications, including applications in Argentina, Australia, Canada, China, Europe, Eurasia, Japan, Korea and Taiwan. Patent term is based on the effective filing date of each family. Of the eight issued patents, five will expire on March 23, 2042, two will expire on January 27, 2043, and one will expire on March 25, 2045, without taking into account any patent term adjustments, extensions or terminal disclaimers, and assuming payment of all appropriate maintenance fees. Future patents that result from pending applications in these families are projected to expire on one of March 23, 2042; January 27, 2043; September 19, 2043; September 11, 2044; October 4, 2044; or March 25, 2045, without taking into account any patent term adjustments, extensions, or terminal disclaimers, and assuming payment of all appropriate maintenance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Technology and Discovery Program</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February 20, 2026, we owned 3 patent families relating to platform technology for identifying pathways for healthy aging and druggable targets, and 1 patent family relating to a class of therapeutic fusion proteins that bind endogenous RAGE ligands. These patent families include 4 issued U. S. patents, one issued Japanese patent, 3 pending U.S. applications, and 3 pending foreign national applications, including applications in Canada, and Europe. U.S. Patent No. 11,881,311 expires September 23, 2041, inclusive of patent term adjustment, and without taking into account any potential future extension. U.S. Patent No. 11,445,981 expires August 11, 2039, inclusive of patent term adjustment, and without taking into account any potential future extension. U.S. Patent No. 10,913,784 expires September 13, 2039, without taking into account any potential future extension. U.S. Patent No. 11,535,661, expires September 13, 2039, inclusive of a terminal disclaimer, and without taking into account any potential future extension. Japanese Patent No. 7,307,178 expires in September 2039, without taking into account any potential future extension. The 3 pending U.S. applications are expected to expire respectively in February 2038, July 2038, and October 2038, without taking into account any potential patent term adjustment, terminal disclaimer, or future extension. The 3 pending foreign national applications are expected to expire in October 2038 or September 2039, without taking into account any potential future supplementary protection certificate or extension.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future clinical candidates as well as new platform and core technologies.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on our current and future product candidates and their related methods of use, as well as successfully defending any such patents against third-party challenges and operating without infringing on the proprietary rights of others. Our ability to stop third parties from making, using, selling, offering to sell or importing our product candidates will depend, in part, on the extent to which we have rights under valid and enforceable patents that cover these activities. We cannot be sure that patents will be granted with respect to any of our pending patent applications or with respect to any patent applications filed by us in the future, nor can we be 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that any patents that may be granted to us in the future will be commercially useful in protecting our product candidates, discovery programs and processes. For this and more comprehensive risks related to intellectual property, see “Risk Factors—Risks Related to Intellectual Property.”</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In the United States, the term of a patent that covers a drug approved by the FDA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intellectual property, see “Risk Factors —Risks Related to Intellectual Property.”</w:t>
      </w:r>
    </w:p>
    <w:p>
      <w:pPr>
        <w:spacing w:after="0" w:line="1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most instances, we have submitted and expect to submit patent applications directly to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file U.S. non-provisional applications, PCT applications and non-PCT foreign national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Before the end of the period of approximately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Intellectual Property.”</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or rights in, an invention. For more information, see “Risk Factors—Risks Related to Intellectual Property.”</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Pharmaceutical products are subject to extensive regulation by government authorities in the United States, at the federal, state and local level, and in other countries and jurisdictions.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Review and Approval Process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(the FD&amp;C Act) and other federal and state statutes and regulations govern, among other things, the research, development, testing, manufacture, quality control,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a clinical hold, FDA refusal to approve pending new drug applications (NDAs), warning or untitled letters, product recalls, product seizures, total or partial suspension of production or distribution, injunctions, fines, civil penalties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U.S. typically involves preclinical laboratory and animal tests, the submission to the FDA of an investigational new drug application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studies to assess the characteristics and potential safety and efficacy of the product, as well as in some cases to establish a rationale for therapeutic use. The conduct of the preclinical tests must comply with federal regulations and requirements, including good laboratory practices for safety/toxicology studies.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An IND automatically becomes effective and the proposed clinical trial may commence 30 days after receipt of the IND by the FDA, unless before that time the FDA raises concerns or questions related to one or more proposed clinical trials and places the trial on clinical hold. In such a case, the IND sponsor must resolve the issues to the FDA’s satisfaction before the clinical trial can begin. As a result, submission of an IND may not result in the FDA allowing clinical trials to commence.</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practices (GCP), an international standard meant to protect the rights and health of participants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While the IND is active, progress reports summarizing the results, if known, of the clinical trials and preclinical studies performed since the last progress report, among other information, must be submitted at least annually to the FDA, and written IND safety reports must be submitted to the FDA and investigators in certain circumstances.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participants. The study protocol and informed consent information for participants in clinical trials must also be submitted to an institutional review board (IRB) or ethics committee at each clinical site for approval before each trial begins. An IRB monitors clinical trials through to completion and may also require the clinical trial at the site to be halted, either temporarily or permanently, for failure to comply with the IRB’s requirements, or may impose other conditions.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many cases, particularly for prevalent diseases, the FDA requires two adequate and well-controlled Phase 3 clinical trials to demonstrate the efficacy of the drug. A single adequate and well-controlled Phase 3 trial in conjunction with confirmatory evidence may be sufficient in many other instances, particularly for rare disease therapies. A single adequate and well-controlled trial may also be sufficient, though it is less common, when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manufacturer of an investigational new drug in a Phase 2 or 3 clinical trial for a serious or life-threatening disease is required to make available, such as by posting on its website, its policy on evaluating and responding to requests for expanded access.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and distribution of the product may begin in the U.S. The NDA must include the results of all preclinical, clinical and other testing and a compilation of data relating to the product’s pharmacology, chemistry, manufacture and controls, as well as any proposed labeling. The cost of preparing and submitting an NDA is substantial and includes an application user fee (unless a waiver applies) as well as an annual program fee, and the fees are typically increased annually.</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has 60 days from its receipt of an NDA to conduct a preliminary review and determine whether the application will be filed based on the agency’s threshold determination that it is sufficiently complete to permit substantive review. If the FDA determines the application is incomplete because it does not on its face contain required information, the FDA may refuse to file the application and request additional information rather than file the NDA. In this event, the NDA must be resubmitted with the additional information. The resubmitted application is subject to preliminary review before the FDA files it. Once the submission is filed, the FDA begins an in-depth review. The FDA has agreed to certain performance goals in the review of NDAs to encourage timeliness. Applications for new molecular entity (NME) standard review drug products are reviewed within twelve months of the date of submission of the NDA to the FDA; applications for priority review NMEs are reviewed within eight months of the date of submission of the NDA to the FDA.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good manufacturing practices (cGMPs) is satisfactory and the NDA contains data that provide substantial evidence that the drug is safe and effective in the indication studied.</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After the FDA evaluates the NDA and completes any clinical and manufacturing facility inspections, it issues either an approval letter or a complete response letter (CRL). A CRL generally outlines the deficiencies the FDA identified during its review of the submission and may require substantial additional testing, or information, in order for the FDA to reconsider the application for approval. If, or when, those deficiencies have been addressed to the FDA’s satisfaction in a resubmission of the NDA, the FDA will issue an approval letter. The FDA has committed to reviewing such resubmissions in two or six months depending on the type of information included. Even if such data and information are submitted, the FDA may decide that the NDA does not satisfy the criteria for approval.</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 approval letter authorizes commercial marketing and distribution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and may limit further marketing of the product based on the results of this post-approval testing or surveillance.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drugs,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FD&amp;C Act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The FDA and the sponsor must reach agreement on the PSP. The FDA may grant full or partial waivers, or deferrals, for submission of data.</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The FDA also may require post-marketing testing, sometimes referred to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FDA may withdraw product approvals or request product recalls if a company fails to comply with regulatory standards, if it encounters problems following initial marketing, or if previously unrecognized problems are subsequently discovered.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list with the FDA each patent whose claims cover the applicant’s product or approved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(ANDA). An ANDA provides for marketing of a drug product that has the same active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FD&amp;C Act also can delay the submission or the approval of certain applications. An ANDA application will not be approved until any applicable non-patent exclusivity listed in the Orange Book for the referenced product has expired. Upon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An ANDA may be submitted one year before NCE exclusivity expires if a Paragraph IV certification is filed. If there is no listed patent in the Orange Book, there may not be a Paragraph IV certification, and, thus, no ANDA may be filed before the expiration of the exclusivity period. Certain changes to a drug, such as the approval of a new indication, new strength, or new condition of use, can be the subject of a three-year period of exclusivity from the date of approval if the application contains reports of new clinical investigations (other than bioavailability studies) conducted or sponsored by the sponsor that were essential to the approval of the application. The FDA cannot approve an ANDA for a generic drug that includes the change during the exclusivity period.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After NDA approval, the owner of a relevant drug patent may apply for up to a five-year patent extension. Only one patent may be extended for each regulatory review period, which is composed of two parts: a testing phase and an approval phase. The allowable patent term extension is generally calculated as half of the drug’s testing phase (the time between IND application and NDA submission) and all of the review phase (the time between NDA submission and approval) up to a maximum of five years. If the extended patent was issued during the development or review period, the calculation begins from the date of patent issuance. The review period can be shortened if the FDA determines that the applicant did not pursue approval with due diligence. The total patent term after the extension may not exceed 14 years.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for which an NDA has not been submitted.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product in the U.S. will depend, in part, on the extent to which such products will be covered by third-party payors, such as government healthcare programs, commercial insurance and managed healthcare organizations. These third-party payors are increasingly limiting coverage and/or reducing reimbursements for medical products and services. The process for determining whether a payor will provide coverage for a drug product may be separate from the process for setting the reimbursement rate that the payor will pay for the drug. Third-party payors may limit coverage to specific drug products on an approved list, or formulary, which might not include all of FDA-approved drugs for a particular indication. Further, one payor’s determination to provide coverage for a drug product does not ensure that other payors will also provide coverage for the drug product. Coverage policies and third-party payor reimbursement rates may change at any time and can differ significantly from payor to payor.</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payor reimbursement or a decision by a third-party payor to not cover a product could reduce physician usage and patient demand for the product.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price transparency and reporting, privacy and cybersecurity laws, and other healthcare laws and regulations.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Violations of the federal Anti-Kickback Statute are punishable by imprisonment, criminal fines, civil monetary penalties, and exclusion from participation in federal healthcare programs.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a violation of the federal Anti-Kickback Statute can serve as a basis for liability under the federal civil False Claims Act.</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(HITECH), and their respective implementing regulations, impose obligations on certain healthcare providers, health plans, and healthcare clearinghouses, known as covered entities, as well as their business associates and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 Each of these laws may increase the complexity, variation in requirements, restrictions and potential legal risks, and could require increased compliance costs and changes in business practices and policies. For example, the California Consumer Privacy Act of 2018 (CCPA), imposes obligations on businesses to which it applies, including, but not limited to, providing specific disclosures in privacy notices and affording California residents certain rights related to their personal data, although it exempts some data processed in the context of clinical trials. In addition, the California Privacy Rights Act of 2020 (CPRA), which went into effect on January 1, 2023, imposes additional obligations on companies covered by the legislation and significantly modifies the CCPA, including by expanding consumers’ rights with respect to certain sensitive personal information. The CPRA also creates a new state agency that is vested with authority to implement and enforce the CCPA and CPRA. Other states have also enacted, proposed, or are considering proposing, data privacy laws, which could further complicate compliance efforts, increase our potential liability and adversely affect our business.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pursuant to the federal Physician Payments Sunshine Act, enacted as part of the ACA, the Centers for Medicare &amp; Medicaid Services (CMS), has issued a final rule that requires manufacturers of approved prescription drugs that are reimbursable under Medicare, Medicaid, or the Children’s Health Insurance Program, with certain exceptions, to collect and report information on certain payments or transfers of value to physicians (defined to include doctors, dentists, optometrists, podiatrists and chiropractors), certain non-physician practitioners (such as physician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Several states, including California, Connecticut, Nevada, and Massachusetts, require pharmaceutical companies to implement compliance programs and/or marketing codes. Still other states require the posting of information relating to clinical studies and their outcomes. A growing number of states require the reporting of certain drug pricing information, including information pertaining to and justifying price increases and the prices of newly launched drugs, or prohibit prescription drug price gouging. In addition, certain states require pharmaceutical companies to implement compliance programs and/or marketing codes. Certain states and local jurisdictions also require the registration of pharmaceutical sales and medical representatives. Compliance with these laws is difficult and time consuming, and companies that do not comply with these state laws face civil penalties.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Any action for an alleged or suspected violation can cause a drug company to incur significant legal expenses and divert management’s attention from the operation of the business, even if such action is successfully defended.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Several healthcare reform proposals culminated in the enactment of the Inflation Reduction Act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The IRA also imposes rebates on Medicare Part B and Part D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through a newly established manufacturer discount program, which requires manufacturers, in order for their drugs to be covered by Medicare Part D, to provide statutorily defined discounts on their brand (approved NDA or BLA) drugs dispensed to Part D enrollees. The IRA permits the Secretary of HHS to implement many of these provisions through guidance, as opposed to regulation, for the initial years. Manufacturers that fail to comply with the IRA may be subject to various penalties, including civil monetary penalties. These provisions began taking effect progressively starting in 2023 and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Thus, while it is unclear how the IRA will be implemented, it will likely have a significant impact on the pharmaceutical industry and the pricing of prescription drug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had 62 employees, 60 of whom were full-time and 44 of whom were engaged in research and development activities. Approximately 44% of our employees hold Ph.D. or M.D. degrees. Women comprise approximately 50% of our employees, and individuals from underrepresented ethnic groups comprise approximately 31%. Women comprise approximately 39% of our senior leadership team and 25% of our board of directors. None of our employees are represented by a labor union or covered under a collective bargaining agreement. We consider our relationship with our employees to be good.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the success of our Company by motivating such individuals to perform to the best of their abilities and achieve our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headquarters are located in Emeryville, California where we lease and occupy 10,479 square feet of office and laboratory space.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existing facilities and new facilities under construction are sufficient to meet our near-term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2015 under the name BioAge Labs, Inc. Our principal executive office is located at 5885 Hollis Street Suite 370 Emeryville California, 94608, and our telephone number is (510) 806-1445. Our website address is www.bioagelabs.com. The information contained on, or that can be accessed through, our website is not part of, and is not incorporated by reference into, this Annual Report.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https://ir.bioagelabs.com, after the reports and amendments are electronically filed with or furnished to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Annual Report, including in the section titled “Management’s Discussion and Analysis of Financial Condition and Results of Operations” and in our consolidated financial statements and the related notes included elsewhere in this Annual Report.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among others, the following:</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the development of, receive regulatory approval for and ultimately successfully commercialize BGE-102 or any future product candidates we may develop,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future product candidates in combination with other therapies, which would expose us to additional risks.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clinical and regulatory capabilities and operations as we grow,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significantly or may fall below the expectations of investors or securities analysts, each of which may cause our stock price to fluctuate or decline.</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or publicity for one drug for atherosclerotic cardiovascular disease (ASCVD) risk reduction, diabetic macular edema (DME), or obesity could have a substantial impact on all drugs and product candidates for ASCVD risk reduction, DME, or obesity, including any potential product candidates we may have in the future.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pharmaceutical products, including BGE-102 our APJ programs or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Limited Operating History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on which to base your investment decision.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We commenced operations in 2015, have no products approved for commercial sale and have never generated any revenue. To date, we have devoted substantially all of our resources to identifying, acquiring and developing our product candidates and licensed technologies, building our pipeline, performing research, conducting preclinical studies and early-stage clinical trials,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with proceeds from sales of our redeemable convertible preferred stock, convertible notes, proceeds from the sale of our common stock, and stock option exercises. We have not yet demonstrated an ability to successfully complete any clinical trials beyond Phase 1b for our former lead product, azelaprag. Additionally, we have not yet demonstrated an ability to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product revenue since our inception. If our future product candidates are not successfully developed, approved and commercialized, we may never generate significant revenue, if we generate any revenue at all. Our net losses were $80.6 million and $71.1 million for the years ended December 31, 2025 and 2024, respectively. As of December 31, 2025, we had an accumulated deficit of $333.4 million. Substantially all of our losses have resulted from expenses incurred in connection with the development of, and in-licensing of intellectual property related to, our former product candidate azelaprag, the research and development of our NLRP3 programs, our longitudinal human aging platform, and from general and administrative costs associated with our operations. BGE-102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in connection with our planned and ongoing clinical trials for BGE-102, an NLRP3 inhibitor for patients with elevated cardiovascular risk or diabetic macular edema, our planned development of APJ agonists, and as we continue our development of, seek regulatory approval for and potentially commercialize BGE-102 or any future product candidates we may develop.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May 2022, we entered into a loan and security agreement (the Loan Agreement) with SVB Innovative Credit Growth Fund IX, LP and Innovative Credit Growth Fund VIII-A, LP (collectively, the Lenders) pursuant to which we were able to borrow up to an aggregate of $25.0 million across two potential tranches until December 31, 2023 (the Term Loan). The Term Loan is secured by a lien covering substantially all of our assets, but not including our intellectual property or non-assignable licenses. In connection with the Term Loan, the Lenders were concurrently issued warrants to purchase 24,968 shares of our common stock at an exercise price of $10.26 per share, with a term of 10 years. The Loan Agreement required us to pay monthly interest payments until November 1, 2023, after which we commenced monthly principal payments. As of December 31, 2025, we had $2.0 million outstanding principal under the Term Loan. The Term Loan matures by April 1, 2026. For additional information about the Loan Agreement, see Note 5 to our consolidated financial statements included elsewhere in this Annual Report.</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identifying, discovering, developing, in-licensing or acquiring any future product candidates, completing clinical trials of our product candidates, obtaining regulatory approval for BGE-102 and any future product candidates, and manufacturing, marketing, and selling any products for which we may obtain regulatory approval. We are only in the preliminary stages of these activities. We may never succeed in these activities and, even if we do, may never generate revenue that is significant enough to achieve profitability.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BGE-102, through clinical development and any future product candidates through preclinical and clinical development. We expect increased expenses as we continue our research and development, initiate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Because the outcome of any preclinical study or clinical trial is highly uncertain, we cannot reasonably estimate the actual amount of capital necessary to successfully complete the development and commercialization of our product candidates.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had $285.1 million in cash, cash equivalents and marketable securities as of December 31, 2025, of which $4.0 million were long-term marketable securities. Based on our current operating plan, we estimate that our existing cash, cash equivalents and marketable securities as of the filing date of this Annual Report will be sufficient to fund our operations and capital expenses through 2029. Changes beyond our control may occur that would cause us to use our available capital before that time, including changes in and progress of our drug development activities and changes in regulation. Our future capital requirements will be dependent on many factors, including:</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clinical trials for our lead product candidate, BGE-102,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any future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and additional indications for our current product candidates we may pursue, and the preclinical studies and clinical trials necessary to develop them;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2" w:name="page63"/>
    <w:bookmarkEnd w:id="62"/>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any approved product candidates, including establishing sales, marketing, market access and distribution capabilities;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BGE-102 or any future product candidates,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completing any post-marketing studies or trials required by the U.S. Food and Drug Administration (FDA) or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BGE-102 or any future product candidates, if any are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preclinical development programs and advance any product candidates into clinical trials in order to seek regulatory approval, and we anticipate needing to raise additional capital to complete the development of, and eventually commercialize, any of our product candidates, if approved. For example, we are party to the Sales Agreement with Leerink relating to the sale and issuance, from time to time, of shares of our common stock in at-the-market equity offerings with an aggregate offering price up to $75.0 million.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future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preclinical studies, future clinical trials or future commercialization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 Related to Research, Discovery, Development, Regulatory Approval and Commercialization of our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ability to identify and develop future product candidates. If we are unable to advance the development of, receive regulatory approval for and ultimately successfully commercialize BGE-102 or any future product candidates we may develop, or experience significant delays in doing so, our business will be materially harmed.</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future success is highly dependent on our ability to identify and develop, obtain regulatory approval for, and then successfully commercialize our lead product candidate, BGE-102, and any future product candidates, which may never occur. We are early in our development efforts with respect to BGE-102, which is a brain-penetrant structurally novel small molecule inhibitor of NLRP3 that has a novel binding site. We are also developing APJ agonists, which are in earlier stages of development. We currently have no products that are approved for sale in any jurisdiction. There can be no assurance that BGE-102 or any future product candidates we develop will achieve success in their respective clinical trials or obtain regulatory approval. We may also become dependent on product candidates that we may develop or acquire in the future. Given our early stage of development, it may be several years, if at all, before we have demonstrated the safety and efficacy of a product candidate sufficient to warrant approval for commercialization.</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which we do not expect will occur for many years, if ever, will be heavily dependent on the successful development and eventual commercialization of BGE-102, our APJ programs and any future product candidates. The success of BGE-102 and any future product candidates will be dependent on several factors, including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demonstrating attractive, competitive target product profiles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INDs by the FDA or other similar clinical trial applications from other regulatory authorities for our future clinical trials for our pipeline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other comparable foreign regulatory agencies;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if granted, including the completion of any required post-marketing studies or trials and available funding to perform any post-marketing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current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protecting and enforcing our patent, trade secret and other intellectual property and regulatory exclusivity for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current or future product candidates and ensuring a resilient, effective supply chain that produces supply that outpaces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 as well as adequate demand forecasts for supply and sales planning;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product characteristics attractive to physicians, patients, advocates, payors and caregivers;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underpinned by adequate health economic data and a meaningful value proposition;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 in both public and private payor spaces, given the significant number of obese patients in the United States who may benefit from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clinical trials resulting from any major natural disasters, health pandemics or significant political events;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clinical trial results for future product candidates show unexpected adverse events or a lack of efficacy in the indications we intend to treat or do not meet the clinical endpoints, or if we experience other regulatory or developmental issues. For instance, in December 2024, we announced the discontinuation of our Phase 2 clinical trial of our former lead product candidate azelaprag following observation of liver transaminitis without clinically significant symptoms in some subjects receiving azelaprag.</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potential product candidates over other potential product candidates. These decisions may prove to have been wrong and may adversely affect our ability to develop our own programs or our attractiveness as a commercial partner, and may ultimately have an impact on our commercial success.</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product candidates or therapeutic areas may not lead to the development of viable commercial products and may divert resources away from better opportunities. Similarly, any decisions to delay, terminate or collaborate with third parties in respect of certain product development programs may also prove not to be optimal and could cause us to miss valuable opportunities. If we make incorrect determinations regarding the market potential of any future product candidates or misread trends in the biopharmaceutical industry, our business, financial condition and results of operations would be materially adversely affected.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August 15, 2025, we announced that the first patient was dosed in our Phase 1 SAD / MAD clinical trial for BGE-102. It is impossible to predict when or if BGE-102 or any future product candidates will prove effective and safe in humans or will receive regulatory approval. To obtain the requisite regulatory approvals to commercialize any product candidate,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 The results of preclinical studies and early clinical trials of BGE-102 or any future product candidates, or a competitor’s product candidate in the same class, may not be predictive of the results of later-stage clinical trials. For example, despite encouraging results from our Phase 1b bed rest atrophy clinical trial and the lack of any negative safety signals in other Phase 1 clinical trials of azelaprag, in January 2025, we announced the discontinuation of the azelaprag program following observation of liver transaminitis without clinically significant symptoms in some subjects receiving azelaprag in our Phase 2 clinical trial. Interim, topline or preliminary results of a clinical trial are not necessarily indicative of final results. 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stages of development. Most product candidates that commence clinical trials are never approved as products, and there can be no assurance that any of our future clinical trials will ultimately be successful or support clinical development of any future product candidates.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initiating or completing clinical trials of our future product candidates. We also may experience unforeseen events during, or as a result of, any future clinical trials that we conduct that could delay or prevent our ability to receive regulatory approval or commercialize BGE-102 or any future product candidates, including:</w:t>
      </w:r>
    </w:p>
    <w:p>
      <w:pPr>
        <w:spacing w:after="0" w:line="68" w:lineRule="exact"/>
        <w:rPr>
          <w:sz w:val="20"/>
          <w:szCs w:val="20"/>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 or may halt or suspend an ongoing clinical trial;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current or future product candidates in clinical trials to demonstrate important functional or patient-reported outcomes;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BGE-102 or any future product candidates may be greater than we anticipate, and we may not have sufficient funds to complete such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BGE-102 or any future product candidates or other materials necessary to conduct clinical trials of BGE-102 or any future product candidates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sufficient quantities of BGE-102 or any future product candidates for use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meet drug specifications suitable for use in clinical trials and commercial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BGE-102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for such product candidate as well as data emerging from other molecules in the same class as BGE-102 or any future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We could also encounter additional delays if a future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BGE-102 or any future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drug removed from the market after obtaining regulatory approval.</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if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may have restricted duration expectations or guidance;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 marketing testing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Risk Evaluation and Mitigation Strategy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obtaining regulatory approvals. Also, delays in obtaining regulatory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regulatory approval of one or more of our product candidates.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studies to bridge our modified product candidates to earlier versions. If we experience delays in the commencement or completion of our clinical trials, or if we terminate a clinical trial prior to completion, the commercial prospects of any future product candidates could be negatively impacted, and our ability to generate revenues from our current or future product candidates may be delayed or eliminated entirely.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future product candidates in combination with other therapies, which would expose us to additional risks.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develop other product candidates for use in combination with other therapies in the future. The development of product candidates for use in combination with another product may present challenges that are not faced for single agent product candidates. For example, any future clinical trial for our product candidates in combination with other therapies that is designed to evaluate efficacy could show that our product candidate does not sufficiently contribute to the observed effects of individuals who participate in these trials. Even if any future product candidates were to receive regulatory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any future product candidates are approved for use could themselves fall out of favor or be relegated to later lines of treatment. This could result in the FDA or similar foreign regulatory authorities requiring us to conduct additional clinical trials, the need to identify other combination therapies for our product candidates or our own products being removed from the market or being less successful commercially.</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any future product candidates, we may be unable to obtain approval of or successfully market any one or all of the future product candidates we may develop. Additionally, if the third-party providers of therapies or therapies in development used in combination with any future product candidates are unable to produce sufficient quantities for clinical trials or for commercialization of any future product candidates, or if the cost of combination therapies are prohibitive, our development and commercialization efforts would be impaired, which would have an adverse effect on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 available and/or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topline or interim data from our clinical trials, such as preliminary, topline or interim data analysis from our ongoing and planned clinical trials of BGE-102. For example, we announced interim data from our Phase 1 SAD / MAD study of BGE-102 in December 2025 and January 2026.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including, for example, preliminary or interim data that becomes available to us from our ongoing and planned clinical trials of BGE-102 or other future product candidates or by our competitors in the future could result in volatility in the price of our common stock.</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approval for, and commercialize, our product candidates may be harmed, which could harm our business, financial condition, results of operations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applying our longitudinal human aging platform to identify additional targets with therapeutic and commercial potential or in the discovery and development of commercially viable product candidates for us or our collaborators.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our longitudinal human aging platform to identify and prioritize potential drug targets, to assess the likelihood that we can develop a product candidate that interacts with the target to elicit the desired therapeutic effect, and to transition these insights efficiently into well supported therapeutic candidates. While we believe our platform will increase the likelihood of producing additional product candidates that provide meaningful clinical benefit, past success in identifying potential product candidates does not assure future success for our internal drug discovery programs. Our longitudinal human aging platform is novel, and we may not succeed in applying our platform to identify additional drug targets or transition these targets into promising future product candidates. We similarly cannot provide any assurance that, even if we do successfully identify additional targets, we will be able to successfully develop future product candidates and advance any such future product candidates into and through clinical development. Therefore, we are unable to predict the time and cost associated with the identification and development of any future product candidate or whether the application of our platform will result in the identification, development and ultimately regulatory approval of any future product candidates.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through our platform to identify, discover, acquire or in-license, and ultimately develop, product candidates require substantial technical, financial and human resources, whether or not any such future product candidates are ultimately identified. Our efforts may initially show promise in identifying potential product candidates, yet fail to yield product candidates for clinical development or regulatory approval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used may not be successful in identifying any future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any product candidates we develop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in subsequent preclinical or clinical investigations, to have harmful side effects or characteristics that indicate it is unlikely to be effective, or otherwise would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physicians, patients, the medical community or third-party payors.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be dependent,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future growth may be dependent, in part, on our ability to develop and commercialize BGE-102, if approved, and any future product candidates in foreign markets for which we may rely on collaboration with third parties. We are not permitted to market or promote BGE-102 or any future product candidates before we receive regulatory approval from the applicable regulatory authority in that foreign market and may never receive such regulatory approval for BGE-102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BGE-102 or any future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BGE-102 or any future product candidates will be harmed, and our business will be adversely affected. We may not obtain foreign regulatory approvals on a timely basis, if at all. Our failure to obtain approval of BGE-102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BGE-102 or any future product candidates and ultimately commercialize BGE-102 or any future product candidates in foreign markets, we would be subject to the risks and uncertainties, including the burden of complying with complex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changing foreign regulatory, tax, accounting and legal requirements and reduced protection of intellectual property rights in some foreign countries.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enrolling or keeping patients in our clinical trials, which could delay or prevent us from proceeding with, or otherwise adversely affect, clinical trials of our product candidates.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will be required to conduct some of our clinical trials at the same clinical trial sites that some of our competitors use, which could negatively impact the number of patients who are available for our clinical trials in such clinical trial site.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 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not achieve adequate market acceptance among physicians, patients or their families, healthcare payors and others in the medical community necessary for commercial success.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given the significant number of obese patients in the United States, and timing of relevant formulary decision-making resulting in this coverage and reimbursement;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for use as a combination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efforts and market access;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relating to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new therapies for the same indications.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are approved but do not achieve an adequate level of acceptance by physicians, hospitals, healthcare payors and patients, we may not generate or derive sufficient revenue from that product candidate and our financial results would be negatively impacted.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as a company before and currently lack the comprehensive, fully staffed expertise, personnel and resources to successfully commercialize any products on our own or together with suitable collaborators. If, in the future, we are unable to establish sales and marketing capabilities or enter into agreements with third parties to sell and market any product we may develop, we may not be successful in commercializing those products if they are approved.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any current or future product candidates.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factors that may inhibit our efforts to commercialize any approved product candidates include:</w:t>
      </w:r>
    </w:p>
    <w:p>
      <w:pPr>
        <w:spacing w:after="0" w:line="54"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decision makers to utilize any future approved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any of our current or future product candidates at a sufficient price point to ensure an adequate and attractive level of profitability;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current or future product candidates to segments of the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 candidates to be offered by sales personnel, which may put us at a competitive disadvantage relative to companies with more extensive product candidate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is dependent on our ability to retain key employees and to attract, retain and motivate qualified personnel and manage our human capital.</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is largely dependent on our ability to attract, motivate and retain highly qualified managerial, clinical, scientific and medical personnel. We are highly dependent on the scientific and management expertise of Dr. Fortney, our Chief Executive Officer, the other members of our management team and other key employees and advisors. We currently do not maintain “key person” life insurance on these individuals or any of our employees. This lack of insurance means that we may not have adequate compensation for the loss of the services of any such individuals. The loss of one or more members of our management team or other key employees or advisors could delay our research and development programs and have a material and adverse effect on our business, financial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condition, results of operations and prospects. We are dependent on the continued service of our technical personnel, because of the highly technical nature of drug development and the specific knowledge related to BGE-102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a remote-based company, with a majority of our employees working remotely, and we primarily conduct our in-person operations at our research facility in Emeryville, California. This region is headquarters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each of which may cause our stock price to fluctuate or decline.</w:t>
      </w:r>
    </w:p>
    <w:p>
      <w:pPr>
        <w:spacing w:after="0" w:line="15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BGE-102 or any future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future clinical trials or funding support by us, or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BGE-102 or any future product candidates or those of our competitors;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 effects of global macroeconomic events, such as inflation, tariffs, geopolitical conflicts, such as the armed conflict between the U.S. military and Iran and related disruption in the region, pandemics, natural disasters and supply chain issues, on our business and operations;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2" w:name="page73"/>
    <w:bookmarkEnd w:id="72"/>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or annual comparisons of our financial results are not necessarily meaningful and should not be relied on as an indication of our future performance.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clinical and regulatory capabilities and operations as we grow, and as a result, we may encounter difficulties in managing our growth, which could disrupt our operations.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to increase the number of our employees and the scope of our operations, particularly in the areas of clinical development, clinical operations, manufacturing, regulatory affairs, finance, accounting, business operations, communications and other corporate development functions, and, if BGE-102 or any future product candidates receive regulatory approval, sales, marketing and distribution capabilities. If we acquire additional product candidates or enter into future collaborations, we may have to further expand our employee base beyond our current projections, which may include further preclinical research and development or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operations, we may not be able to successfully implement the tasks necessary to further develop and commercialize, if approved, BGE-102 or any future product candidates and, accordingly, we may not achieve our research, development and commercialization goals.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 if at all.</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and specifically the development and commercialization of therapeutics for cardiometabolic diseases, ophthalmology, and obesity is particularly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future product candidates, if approved, would face competition from other approved treatments, some of which have already achieved commercial success. To compete successfully, we will need to differentiate any of our future therapies, if approved, from currently marketed drugs as well as those that may be approved in the future, meaning that we will have to demonstrate that the relative cost, method of administration, safety, tolerability or efficacy of our future therapies provides a better alternative or complement to existing and new therapies. Our commercial opportunity and likelihood of success will be reduced or eliminated if our future therapies are not ultimately demonstrated to be safer, more effective, more conveniently administered, or less expensive than the current standards of care. Furthermore, even if future therapies are able to achieve these attributes, acceptance of such therapies may be inhibited by the reluctance of physicians to switch from existing therapies, or if physicians choose to reserve our future therapies for use in limited circumstances.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any future product candidates, the ease with which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any future product candidates. Such competitors could also recruit our employees, which could negatively impact our level of expertise and our ability to execute our business plan. Mergers and acquisitions in the biopharmaceutical and biotechnology industries may result in even more resources being concentrated among a smaller number of our competitors. Early-stage companies may also prove to be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3" w:name="page74"/>
    <w:bookmarkEnd w:id="7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may prove to be smaller than we believe, and even if the markets in which we compete achieve the forecasted growth, our business may not grow at similar rates, or at all.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ASCVD risk reduction, DME, and obesity. Our projections of addressable patient populations within any particular disease state that may benefit from treatment with our product candidates are based on our estimates. Market opportunity estimates and growth forecasts included in this Annual Report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Similarly, the percent of the population with cardiovascular risk factors, DME, and obesity could be lower than we anticipate. In both instances, the pool of potential patients that our current or any future product candidates could address could be substantially smaller than we anticipate. Additionally, the potentially addressable patient population for any future product candidates may not ultimately be amenable to treatment with any future product candidates. Our market opportunity may also be limited by future competitor treatments that enter the market. If any of our estimates prove to be inaccurate, the market opportunity for any future product candidates that we or our strategic partners develop could be significantly diminished and have an adverse material impact on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results or publicity for one drug for ASCVD risk reduction, DME, or obesity could have a substantial impact on all drugs and product candidates for ASCVD risk reduction, DME, or obesity, including any potential product candidates we may have in the future.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can be affected by adverse publicity or negative public perception about us, our competitors, our future product candidates or products, if approved, or our industry or competitors generally. Adverse publicity may include publicity about ASCVD risk reduction, DME, or obesity or GLP-1R agonists generally, the efficacy, safety and quality of our future product candidates, as well as of the broader category of obesity products, including any products that our future product candidates are intended to be used in combination with, and regulatory investigations, regardless of whether these investigations involve us or the business practices or products of our competitors or our customers. Any adverse publicity or negative public perception could have a material adverse effect on our business, financial condition and results of operations. Further, any adverse effects in our future clinical trials, even if not ultimately attributable to our future product candidates, and the resulting publicity could result in withdrawal of clinical trial participants, and a decrease in demand for any such future product candidates. Our business, financial condition and results of operations could be adversely affected if any of our future product candidates or products, if approved, or any similar products distributed by other companies are alleged to be or are proved to be harmful to consumers or to have unanticipated and unwanted health consequences.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maintain approximately $18.0 million in general liability insurance and product liability insurance in the aggregate.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and we may be subject to claims that our employees, consultants or independent contractors have wrongfully used or disclosed confidential information of third parties.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regulatory authorities, comply with manufacturing standards we may establish, comply with healthcare fraud and abuse laws and regulations, report financial information or data accurately or disclose 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regulatory authorities exclusion from participation in government contracting, healthcare reimbursement or other government programs, including Medicare and Medicaid, integrity oversight and reporting obligations, or reputational harm.</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other biotechnology or 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9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2022, we entered into the Loan Agreement and the Term Loan we entered into in connection with the Loan Agreement restricts our ability to pursue certain mergers, acquisitions or consolidations that we may believe to be in our best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current year taxable income (without regard to certain deductions). In addition, both our current and our future net operating losses and other tax attributes may be subject to limitation under Sections 382 and 383 of the U.S. Internal Revenue Code of 1986, as amended, if we undergo, or have undergone, an “ownership change,” generally defined as a greater than 50 percentage point change (by value) in our equity ownership by certain stockholders or groups of stockholders over a three-year period. It is possible that we have undergone one or more “ownership changes” in the past. We may also undergo ownership changes in the future as a result of shifts in the ownership of our capital stock, some of which may be outside of our control, which may further limit our ability to use our pre-change net operating loss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flows, financial condition or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or regulations could be enacted at any time, which could adversely affect our business operations and financial performance. Further, existing tax laws, statutes, rules, regulations or ordinances could be interpreted, changed, modified or applied adversely to us. For example,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under the Tax Cuts and Jobs Act, as amended by the One Big Beautiful Bill Act ("OBBBA") for tax years beginning after December 31, 2021, taxpayers are required to capitalize and amortize certain research and development expenditures over fifteen years if incurred in foreign jurisdictions. For tax years beginning after December 31, 2021, and beginning on or before December 31, 2024, taxpayers generally were required to capitalize and amortize certain research and development expenditures over five years if incurred in the United States; however, beginning after that period, the OBBBA restored immediate deductibility of research and development expenditures incurred in the United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States and also permits certain small business taxpayers to apply these changes retroactively to tax years beginning after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preparing the financial statements as of and for the years ended December 31, 2023 and 2022, management previously determined it had not maintained appropriately designed entity-level controls impacting the control environment, risk assessment procedures and monitoring activities to prevent or detect material misstatements to our consolidated financial statements, which constituted material weaknesses. Specifically, the control deficiencies related to (i) insufficient identification and assessment of risks impacting the design, implementation and operating effectiveness of internal controls over financial reporting and (ii) insufficient evaluation and determination as to whether components of internal control were present and functioning based upon evidence maintained for activity level controls, including management review controls, across substantially all of our financial statement areas. Management had also determined that it did not maintain effective information technology controls in the areas of user access, change management and segregation of duties, within the systems supporting our accounting and reporting processes. During the fiscal year ended December 31, 2024, we successfully completed the testing necessary to conclude that the material weaknesses have been remediated.</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statements and prevent or detect fraud. Although the material weaknesses in internal control over financial reporting described above have been remediated, any new material weaknesses or other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 We cannot assure you that the remediation measures we have taken to date will be sufficient to prevent or avoid potential future material weaknesses in our internal controls.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stockholders, which could harm our reputation and financial condition or divert financial and management resources from our regular business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or may in the future be, subject to stringent and changing data privacy and security obligations.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certain personal information and other sensitive information, including our proprietary and confidential business data, trade secrets, employee data, intellectual property, data we collect about trial participants in connection with clinical trials, and other sensitive data. The global data protection landscape is rapidly evolving and we are or may become subject to numerous data privacy and security obligations, such as various state, federal and foreign laws, regulations, guidance, industry standards, external and internal privacy and security policies, contractual requirements and other obligations that govern the processing of personal,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that could result in fines or injunctions.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sensitive or confidential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comprehensive consumer privacy laws, sector-specific privacy laws, consumer protection laws (e.g., Section 5 of the Federal Trade Commission Act), data breach notification laws, laws regarding on-line marketing, and other similar laws (e.g., wiretapping laws). For example, the Health Insurance Portability and Accountability Act of 1996, as amended by as amended by the Health Information Technology for Economic and Clinical Health Act of 2009 (HITECH) (collectively, HIPAA), include a privacy rule and security rule that impose among other things, certain requirements relating to the privacy, security, transmission, and breach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Over a dozen states have also passed comprehensive consumer privacy laws, and similar laws are being considered in several other states, as well as at the federal and local levels, some of which we may become subject to. For example, the California Consumer Privacy Act of 2018 (as amended by the California Privacy Rights Act of 2020)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The CCPA also provides for fines of up to $7,500 per intentional violation and allows private litigants affected by certain data breaches to recover significant statutory damages. The 2020 amendments to the CCPA also created the California Privacy Protection Agency, a new enforcement agency whose sole responsibility is to enforce the CCPA and is empowered to create new CCPA regulations. In addition to government activity, privacy advocacy groups and technology and other industries are considering various new, additional or different self-regulatory standards that may place additional burdens on us. In addition to government activity,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8" w:name="page79"/>
    <w:bookmarkEnd w:id="7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privacy advocacy groups and technology and other industries continue to consider new or revised self-regulatory standards that may place additional burdens on us.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the European Union’s General Data Protection Regulation (EU GDPR) and the United Kingdom’s GDPR (UK GDPR) impose strict requirements for processing the personal data of individuals. Among other requirements, the GDPR and UK GDPR (and certain other foreign jurisdictions) regulate the cross- border transfer of personal data, which could make it more difficult for us to transfer information across jurisdictions (such as transferring or receiving personal data that originates in the European Union (EU), or the United Kingdom to countries such as the United States which are not considered by the EU or United Kingdom to provide adequate protection of personal data). In October 2022, the EU-U.S. Data Privacy Framework was implemented, and the European Commission adopted an adequacy decision on July 10, 2023 that set conditions for personal data transfers from the EU to certified companies in the United States without additional safeguards in place.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 investigations or fines; we may have to stop using certain tools and vendors and make other operational changes; and/or it could adversely affect our business, financial condition, results of operations and prospects.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such changes in the law related to the use of personal information or data could compromise our ability to pursue our growth strategy effectively or even prevent us from providing certain products in jurisdictions in which we currently operate or may operate in the future. Complying with these numerous, complex and often changing regulations is expensive and difficult, and failure to comply with any data privacy or security laws, whether by us, one of our third-party CDMOs, partners or another third party, could adversely affect our business, financial condition, results of operations and prospects and result in expenses which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contractual obligations related to data privacy and security. We may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assure you that our CROs, CDMOs or other third-party service providers with access to our or our suppliers’, manufacturers’, clinical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cannot completely protect us from the risks associated with the third-party processing of such information. Any of the foregoing could adversely affect our business, financial condition, results of operations and prospects.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efficient and uninterrupted operation of our information technology systems, and those systems, or those of our third-party service providers, may be impacted by security incidents, cyberattacks, loss of data and other disruptions, which could adversely impact our business.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to operate our business. In the ordinary course of business, we collect, store, generate, transfer, and transmit (collectively, “process”) confidential information (such as intellectual property, proprietary business data and patient data). It is critical that we do so in a secure manner to maintain the confidentiality and integrity of such information. We also outsource elements of our information technology systems and operations to third parties (such as vendors, contractors and consultants), and as a result we rely on and take steps designed to manage a number of third- parties who have access to and process our confidential information.</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take steps designed to detect, mitigate, and remediate vulnerabilities in our information systems, we may not detect or be able to remediate all such vulnerabilities. Further, we may experience delays in developing and deploying remedial measures and patches designed to address identified vulnerabilities, if at all. Despite the implementation of these security measures, our information technology systems and those of our third-party vendors and other contractors and consultants have been in the past and may be in the future potentially vulnerable to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 supported actors, which may compromise our system infrastructure, or that of our third-party vendors and other contractors and consultants, impede our ability to conduct business, delay our financial reporting or lead to data leakage. Any of the above concerns could apply to our third-party suppliers and vendors as well.</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 of a 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threats. Any breach, loss or compromise of confidential proprietary, or personal information may also subject us to liability,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remote work may increase the risks to our information technology systems and data, as remotely working employees utilize network connections, computers and devices outside our premises or network, including working at home, while in transit or in public locations.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or smaller reporting companies could make our common stock less attractive to investors.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Annual Report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Annual Report.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2029,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will continue to be a smaller reporting company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to enter into collaborations or other agreements with third parties for the discovery, development and commercialization of product candidates, if approved, and we may not be successful in doing so. If those collaborations are not successful, we may not be able to capitalize on the market potential of BGE-102 and any future product candidates.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seek third-party collaborators for research, development and commercialization of BGE-102 or any future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8"/>
          <w:szCs w:val="18"/>
          <w:color w:val="auto"/>
        </w:rPr>
        <w:t>Collaborations involving our technology currently pose, and will continue to pose, the following risks to us:</w:t>
      </w:r>
    </w:p>
    <w:p>
      <w:pPr>
        <w:spacing w:after="0" w:line="117"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any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any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if approved, relative to other products;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if approved, commercialization of any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if approved,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if approved, commercialization of product candidates in the most efficient manner or at all;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if approved, commercialization program could be delayed, diminished or terminated.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Moreover, if a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studies and clinical trials ourselves. As a result, we are dependent on third parties to conduct preclinical studies of certain future product candidates, as well as clinical trials for any future product candidates, as well as potentially preclinical studies of certain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For example,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current Good Manufacturing Practices (cGMP) regulations. Our failure or the failure of third parties on whom we rely to comply with these regulations may require us to stop and/or repeat clinical trials, which would delay the regulatory approval process.</w:t>
      </w:r>
    </w:p>
    <w:p>
      <w:pPr>
        <w:spacing w:after="0" w:line="1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 sponsored trials. However, we would not have control over the timing and reporting of the data from investigator-sponsored trials, nor would we own the data from the investigator-sponsored trials. If we are unable to confirm or replicate the results from the investigator- 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3" w:name="page84"/>
    <w:bookmarkEnd w:id="8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BGE-102 or any future product candidates and will not be able to, or may be delayed in our efforts to, successfully commercialize our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including BGE-102 and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which are located in China and India. We rely, and expect to continue to rely, on third parties for the manufacture of our product candidates and related raw materials for preclinical and clinical testing, product development purposes, to support regulatory application submissions, as well as for commercial manufacture if any of our product candidates obtain regulatory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including the armed conflict between the U.S. military and Iran and related disruption in the region, the impacts of threatened or imposed tariffs or other trade barriers, and public health epidemics,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regulatory restrictions or other causes, could impair our ability to operate our business on a day-to-day basis and to continue our development of our product candidates.</w:t>
      </w:r>
    </w:p>
    <w:p>
      <w:pPr>
        <w:spacing w:after="0" w:line="18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Furthermore, since some of our third-party manufacturers are located in China and India, we are exposed to the possibility of product supply disruption and increased costs in the event of changes in the policies of the United States, such as the recent imposition of tariffs, or other trade barriers, or actions by the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signed into law in December 2025, prohibits U.S. federal agencies from entering into or renewing any contract (or loaning or granting funds to do the same) with any entity that uses “biotechnology equipment or services” produced or provided by a “biotechnology company of concern” to perform that contract. A “biotechnology company of concern” is defined as an entity that is involved in the manufacturing, distribution, provision, or procurement of a biotechnology equipment or service and is (i) identified on the annual 1260H List of Chinese military companies (1260H List) issued by the U.S. Department of Defense, (ii) determined by the U.S. government to meet certain criteria relating to national security and control by a foreign adversary through a process set forth in the Act, or (iii) certain affiliates of the foregoing. In addition, the BIOSECURE Act provides a grandfathering period of five years for entities that are designated by the U.S. Government; however, entities identified on the 1260H List are not eligible for such grandfathering period. We are presently party to agreements with WuXi Apptec and its affiliates (WuXi), pursuant to which WuXi provides development and manufacturing services to us. WuXi is not currently designated on the 1260H List and has not otherwise been determined to be a biotechnology company of concern, but could be designated as such by the U.S. government in an annual update to the 1260H List or through the process set forth in the Act, once established. If this law or similar laws that may be passed impact WuXi or other Chinese biotechnology manufacturing companies that we may contract with or that provide biotechnology equipment or services in the manufacture of our products or product candidates, they would have the potential to severely restrict our ability to work with WuXi and other such Chinese biotechnology manufacturing companies to the extent we would contract with, or otherwise receive funding from, the U.S. government. We cannot predict what actions may ultimately be taken with respect to trade relations between the United States and China or other countries, what products and services may be subject to such actions or what actions may be taken by China or the other countries in retaliation. Setting up alternative manufacturing or supplier relationships in other jurisdictions would result in additional costs to the business and will require the time and attention of management.</w:t>
      </w:r>
    </w:p>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enter into additional agreements with third-party manufacturers or suppliers on favorable terms. Our anticipated reliance on a limited number of third party-manufacturers or suppliers exposes us to the following risks:</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CDMOs are not in compliance with FDA laws and regulations, including those governing cGMPs, the FDA may not approve a new drug application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CDMOs are subject to continual review and periodic inspections to assess compliance with cGMPs. Furthermore, although we do not have day-to-day control over the operations of our CDMOs, we are responsible for ensuring compliance with applicable laws and regulations, including cGMPs.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In this case, our clinical trials supply could be delayed significantly as we establish alternative supply sources.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5" w:name="page86"/>
    <w:bookmarkEnd w:id="8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clinical supplies, which could require the conduct of additional clinical trials. Further, our third- party manufacturers may experience manufacturing or shipping difficulties due to resource constraints or as a result of natural disasters, labor disputes, unstable political environments or public health epidemics.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regulatory approval on a timely and competitive basis.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or suppliers we engage,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harmed.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BGE-102 and any other product candidates we may develop and our technology, our U.S. patents or one or more U.S. patents that may issue in the future based on a patent application that we license or own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insufficient to protect our competitive position on BGE-102 and any future product candidates for an adequate amount of time.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BGE-102 or any future product candidates are obtained, once the patent life has expired, we may be open to competition from competitive products, including generics.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identical or similar to ours.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 Patent and Trademark Office (USPTO) and various governmental patent agencies outside of the United States in several stages over the lifetime of the patents and/or applications. We have systems in place to remind us to pay these fees, and we employ an outside firm and/or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and ex-U.S. patent laws could diminish the value of patents in general, thereby impairing our ability to protect our current or future product candidates.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7" w:name="page88"/>
    <w:bookmarkEnd w:id="87"/>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For example, in the case, Assoc. for Molecular Pathology v. Myriad Genetics, Inc., the U.S. Supreme Court held that claims to certain DNA molecules are not patentable. In Amgen Inc. v. Sanofi, the Federal Circuit held that claims with functional language may face high hurdles in fulfilling the enablement requirement. Recent decisions raise questions regarding the award of patent term adjustment (PTA) for patents where related patents have been issued without a PTA. Thus, it cannot be said with certainty how PTA will or will not be viewed in future and whether patent expiration dates may be impacted. We cannot predict how this and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18"/>
          <w:szCs w:val="18"/>
          <w:color w:val="auto"/>
        </w:rPr>
        <w:t>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financial condition, results of operations and prospects.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any future products as well as our lead product candidate, BGE-102, are or may be subject to the terms and conditions of license agreements.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in the past licensed, and may in future license, certain patent rights and proprietary technology from third parties that are important or necessary to the development of our product candidates.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Out-license agreements we may enter into in the future may include exclusivity terms limiting our ability to develop product candidates that may compete with the relevant licensed target or product. If such exclusivity restrictions prevent us from developing or commercializing our technologies in a way that we deem necessary to gain or maintain our competitive advantage, it may have a material adverse effect on our competitive position, business, financial conditions, results of operations and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9" w:name="page90"/>
    <w:bookmarkEnd w:id="8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have complete control in the preparation, filing, prosecution, maintenance, enforcement and defense of patents and patent applications covering the technology that we license from third parties.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BGE-102 or any future product candidates.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enter into license agreements with third parties under which we license the use, development and commercialization rights to current or future product candidates or technology from third parties.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intellectual property license agreements may require us to comply with various obligations, including diligence obligations such as development and commercialization obligations, as well as potential royalty and milestone payments and other obligations. If we fail to comply with our obligations under any of these license agreements, use the licensed intellectual property in an unauthorized manner, we are subject to bankruptcy- related proceedings or otherwise materially breach any of these license agreements, the terms of the license granted may be materially modified, such as by rendering currently exclusive licenses non-exclusive, or it may give our licensors the right to terminate the applicable license agreement, in whole or in part. Generally, the loss of or termination of our rights under any licenses we may acquire in the future, could harm our business, financial condition, results of operations and prospects.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sublicenseor fails to comply with its obligations under its upstream license agreement with its licensor, the licensor may have the right to terminate the upstream license, which may result in termination of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product candidates incorporating the relevant intellectual property.</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a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total payment amount due if we develop multiple products under the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0" w:name="page91"/>
    <w:bookmarkEnd w:id="90"/>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or license in the future prevent or impair our ability to maintain our current licensing arrangements on acceptable terms or at all, we may be unable to successfully develop and commercialize the affected product candidates, which could have material adverse effect on our business.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Further, certain of our future license agreements with third parties may limit or delay our ability to consummate certain transactions, may impact the value of those transactions or may limit our ability to pursue certain activities (e.g., we may in the future enter into license agreements that are not assignable or transferable, or that require the licensor’s express consent in order for an assignment or transfer to take place).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that may be relevant to our product candidates. Thus, because of the large number of patents issued and patent applications filed in our fields, there may be a risk that third parties may allege they have patent rights encompassing our future product candidates, technologies or methods. If any such patent were to be asserted against us, we may have defenses against any such action, including that these patents would not be infringed by our future product candidates and/or that these patents are not valid. However, if these patents were asserted against us and our defenses to such an action were unsuccessful, unless we obtain a license to these patents, which may not be available on commercially reasonable terms, or at all, we could be liable for damages and precluded from commercializing any future product candidates, which could have a material adverse effect on our business, financial condition, cash flows or results of operations.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17"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if any;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BGE-102 or any future product candidate is approved by the FDA, a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molecules used in or formed during the manufacturing process, or the product candidate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manufacturing process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any future product candidates.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current and future product candidates, including BGE-102.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if approved, or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product candidates.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3" w:name="page94"/>
    <w:bookmarkEnd w:id="9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may plan to commercialize BGE-102 or any future product candidates. As the biotechnology and pharmaceutical industries expand and more patents are issued, and as we gain greater visibility and market exposure as a public company, the risk increases that BGE-102 or any future product candidates, and commercializing activities may give rise to claims of infringement of the patent rights of others. We cannot assure you that BGE-102 or any future product candidates will not infringe existing or future patents owned by third parties. We may not be aware of patents that have already been issued for which a third party, such as a competitor in the fields in which we are developing BGE-102 or any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BGE-102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4" w:name="page95"/>
    <w:bookmarkEnd w:id="9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party claims or litigation alleging infringement of patents or other proprietary rights, or seeking to invalidate our patents or other proprietary rights, may delay or prevent the development and commercialization of our current or future product candidates or technologies.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avoiding infringement and other violations of the patents and proprietary rights of third parties. The intellectual property landscape around obesity and cardiometabolic diseases drug development is highly dynamic and there is a substantial amount of litigation, both within and outside the United States, involving patent and other intellectual property rights in the biopharmaceutical industry. Potential litigation could include patent infringement lawsuits, derivation and administrative law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before the USPTO, as well as oppositions and similar processes in foreign jurisdictions. As the fields of treating obesity and cardiometabolic diseases continue to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Also, there may be third 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or technologies may infringe.</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Defense of third-party claims of patent infringement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product candidates or other technologies infringe upon these rights. If any third-party patents were held by a court of competent jurisdiction to cover our product candidates, or any aspect of their manufacture or use, the holders of any such patents may be able to block our ability to commercialize such product candidate or technology unless we obtain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or technologies, which may be impossible or require substantial time and monetary expenditure. We cannot predict whether any such license would be available at all or whether it would be available on commercially reasonable terms.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scope of a patent claim is a legal determination made by the courts. It is informed by the written disclosure of a patent, the patent’s prosecution history, and other intrinsic and extrinsic factors. Our interpretation of a patent claim may not be adopted during a patent litigation alleging infringement by our products. If a court does not adopt our claim interpretation and determines that our product candidates are covered by a third-party patent, we may be held liable for damages. Similarly, we may incorrectly predict whether a third-party patent application will issue with claims that cover one or more of our product candidates. If our claim interpretations are not adopted by the USPTO during prosecution of a third-party patent application, or by a court in a patent infringement dispute, our ability to develop and market our product candidates may be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5" w:name="page96"/>
    <w:bookmarkEnd w:id="95"/>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we, or one of our licensors, may have to participate in post-grant challenge proceedings, such as oppositions in a foreign patent office, that challenge priority of invention or other features of patentability. If we or our licensors are unsuccessful in any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licenses from third parties, including parties involved in any such proceedings. If we are unable to obtain such licenses, we may need to cease the development, manufacture and commercialization of one or more of the product candidates or technologies we may develop. The loss of exclusivity or the narrowing of our patent claims could limit our ability to stop others from using or commercializing similar or identical technology and product candidates. Even if we or our licensors are successful in such a proceeding, it could result in substantial costs and be a distraction to management and other employees.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the patent landscape is crowded and highly competitive. Numerous third-party United States and foreign issued patents and pending patent applications exist in the fields in which we are developing product candidates, and they may assert infringement claims against us based on existing patents or patents that may be granted in the future, regardless of their merit. Ongoing research and development is taking place by several companies, universities, and other institutions.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publication timelines. We cannot guarantee that any patent searches we may conduct are complete or thorough enough to identify every third-party patent and pending application in the United States and/or abroad that is relevant to or necessary for the development and commercialization of our product candidates in any country.</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fail to obtain any of these licenses at a reasonable cost or on reasonable terms, if at all. In that event, we may be unable to further develop and commercialize one or more of our product candidates, which could harm our business significantly. We cannot provide any assurances that third party patents do not exist which might be enforced against our product candidates resulting in either an injunction prohibiting our sales, or, with respect to our sales, an obligation on our part to pay royalties or other forms of compensation to third parties.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of our current or future product candidates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obesity and cardiometabolic disease drug development. Additionally, we intend to utilize regulatory protection afforded through rare drug designations, data exclusivity and market exclusivity as well as patent term extensions, where available.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biopharmaceutical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6" w:name="page97"/>
    <w:bookmarkEnd w:id="9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our current or future product candidates.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 party submission of prior art to the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or comparable regulatory authorities caused by, among other factors, funding shortages or global health concerns could occur at any time. In addition, there is substantial uncertainty regarding new initiatives under the new Administration and how these might impact the FDA, its implementation of laws, regulations, policies, and guidance, and its personnel. Similar initiatives may also be directed towards other agencies. These disruptions could hinder government agencies' ability to hire, retain or deploy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or other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or other regulatory authorities may also slow the time necessary for new drugs to be reviewed and/or approved, which would adversely affect our business. For example, starting in January 2025, the current Administration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 consequences may also occur as a result of a significant shutdown of the federal government. For example, over the last several years, and most recently in late 2025, the U.S. government has shut down several times and certain regulatory agencies, such as the FDA and the SEC,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or if the volume of applications to the FDA for new product candidates increases materially,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If the FDA is constrained in its ability to engage in oversight and implementation activities in the normal course, our business may be negatively impacted.</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FDA-regulated industries, such as ours, face substantial uncertainty in regard to the regulatory environment we will face under the current Administration as we proceed with research and development efforts and potential future commercialization. Some of these efforts have manifested to date as efforts to reduce the size of the federal government, including large-scale reductions in force at the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the requisite regulatory approvals for our product candidates. Moreover, the current Administration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or increase the costs to us of conducting clinical trials. Some of these actions have been challenged in court and there remains general uncertainty regarding future activities. The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Administration, there could be a material adverse effect on us and our business.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8" w:name="page99"/>
    <w:bookmarkEnd w:id="9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 unknown. We also cannot predict the extent to which FDA and SEC regulations, policies, and decisions may become subject to increasing legal challenges, delays, and changes.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recently enacted and future legislation may increase the difficulty and cost for us to obtain regulatory approval of and commercialize our product candidates and decrease the prices we may obtain.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regulatory approval of our product candidates, restrict or regulate post-approval activities and affect our ability to profitably sell any products for which we obtain regulatory approval.</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including costs of pharmaceuticals. There has been heightened governmental scrutiny over the manner in which manufacturers set prices for their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reduce the costs of drugs under Medicare and Medicaid, and reform government program reimbursement methodologies for drug products. For example, on August 2, 2011, the Budget Control Act of 2011 imposed, subject to certain temporary suspension periods, 2% reductions in Medicare payments to providers per fiscal year starting April 1, 2013 and, due to subsequent legislative amendments to the statute, will remain in effect through 2032, unless additional Congressional action is taken. In December 2020, the Centers for Medicare &amp; Medicaid Services (CMS) issued a final rule implementing significant manufacturer price reporting changes under the Medicaid Drug Rebate Program, including an alternative rebate calculation for line extensions that is tied to the price increases of the original drug, and Best Price reporting related to certain value-based purchasing arrangements. Under the American Rescue Plan Act of 2021, effective January 1, 2024, the statutory cap on Medicaid Drug Rebate Program rebates that manufacturers pay to state Medicaid programs is eliminated. Elimination of this cap has, in some cases, require pharmaceutical manufacturers to pay more in rebates than they receive on the sale of products. In 2024, CMS issued a final rule that decreased Medicare reimbursement for physician services by 2.8%, effective January 1, 2025. If federal spending is further reduced, anticipated budgetary shortfalls may also impact the ability of relevant agencies, such as the FDA,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Several healthcare reform initiatives culminated in the enactment of the Inflation Reduction Act (the IRA) in August 2022, which, among other things, allows the United States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are eligible to be selected for negotiation by CMS,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The IRA also imposes rebates on Medicare Part D and Part B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began taking effect progressively starting in 2023 and may be subject to legal challenges. For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example, the provisions related to the negotiation of selling prices of high-expenditure single-source drugs and biologics have been challenged in multiple lawsuits brought by pharmaceutical manufacturers. The outcome of these lawsuits is uncertain, and some IRA drug discount provisions have not been challenged in litigation. Thus, while it is unclear how the IRA will be implemented, it will likely have a significant impact on the pharmaceutical industry and the pricing of BGE-102 or any future product candidates.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HHS, which include the FDA and CMS, and related agencies. These actions included, for example, directives to reduce agency workforce, which include the FDA and CMS, and related agencies. In addition, on May 12, 2025, President Trump issued an Executive Order that, among other things, required HHS, within 30 days, to establish and communicate to drug manufacturers most favored nation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(CMMI), two mandatory MFN demonstration models under Medicare Parts B and D, respectively. Further, as part of the Make America Healthy Again (MAHA)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are increasingly enacting laws and implementing regulations designed to control pharmaceutical and biological product pricing, including restrictions or prohibitions on certain marketing practices, reporting of specified categories of remuneration provided to health care practitioners, and reporting and justification of price increases greater than a specified level. In some cases, states have designed programs to encourage importation from other countries and bulk purchasing, though the federal government has not yet approved any such plans. For example, the FDA released a final rule in 2020 providing guidance for states to build and submit importation proposals for drugs from Canada, and the FDA authorized the first such plan in Florida in 2024 but implementation of Florida’s plan has been extended. 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BGE-102 or any future product candidates or additional pricing pressures.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are uncertain. Failure to obtain or maintain coverage and adequate reimbursement for any future products could limit our ability to market those products and decrease our ability to generate revenue.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Sales of our product candidates, if approved,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Even if coverage is provided, the approved reimbursement amount may not be high enough to allow us to establish or maintain pricing sufficient to realize a sufficient return on our investment. Further, one payor’s determination to provide coverage for a drug product does not ensure that other payors will also provide coverage for the drug product. Coverage policies and third-party payor reimbursement rates may change at any time.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There is significant uncertainty related to the insurance coverage and reimbursement of newly approved products. In the United States, the principal decisions about reimbursement for new medicines are typically made by the CMS as CMS decides whether and to what extent a new medicine will be covered and reimbursed under Medicare. Private payors often, but not always, follow CMS’s decisions regarding coverage and reimbursement. Decreases in third-party payor reimbursement or a decision by a third-party payor to not cover any of our product candidates, if approved, could reduce physician usage of our product candidates, and have a material adverse effect on our sales, results of operations and financial condition. We may need to conduct expensive pharmacoeconomic studies in order to demonstrate the medical necessity and cost-effectiveness of our products, in addition to the costs required to obtain FDA approvals. Nonetheless, our product candidates may not be considered medically necessary or cost-effective.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0" w:name="page101"/>
    <w:bookmarkEnd w:id="10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healthcare providers, healthcare organizations, customers and third- 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w:t>
      </w:r>
    </w:p>
    <w:p>
      <w:pPr>
        <w:spacing w:after="0" w:line="72" w:lineRule="exact"/>
        <w:rPr>
          <w:sz w:val="20"/>
          <w:szCs w:val="20"/>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certain healthcare providers, health plans, and healthcare clearinghouses, known as covered entities, as well as their business associates that perform certain services involving the storage, use or disclosure of individually identifiable health information for or on behalf of a covered entity and their covered subcontractors,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covered drugs, devices, biologics and medical supplies that are reimbursable under Medicare, Medicaid, or the Children’s Health Insurance Program, with certain exceptions, to report annually to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1" w:name="page102"/>
    <w:bookmarkEnd w:id="101"/>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BGE-102 or any future product candidates we may develop could delay or preclude approval, cause us to suspend or discontinue clinical trials or abandon further development, change the design of our clinical trials, limit the commercial profile of an approved product, or result in significant negative consequences following regulatory approval, if any.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small molecules generally, it is likely that there may be adverse side effects associated with the use of BGE-102 or any future product candidates. For example, in December 2024, we announced the discontinuation of our Phase 2 clinical trial of our former lead product candidate azelaprag following observation of liver transaminitis without clinically significant symptoms in some subjects receiving azelaprag. Future clinical trials may reveal significant adverse events not seen in our preclinical studies or prior clinical trials and may result in a safety or tolerability profile that could delay or prevent regulatory approval or market acceptance of BGE-102 or any future product candidates.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or other regulatory authorities. If additional adverse events, serious adverse events (SAEs) or other side effects are observed in any of our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Furthermore, clinical trials by their nature utilize a sample of the potential patient population. With a limited number of subjects and limited duration of exposure, rare and severe side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18"/>
          <w:szCs w:val="18"/>
          <w:color w:val="auto"/>
        </w:rPr>
        <w:t>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azelaprag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future product candidates, which could result in the delay or denial of regulatory approval by the FDA or other regulatory authorities. Adverse events and SAEs that emerge during clinical investigation of or treatment with BGE-102 or any future product candidates may be deemed to be related to our product candidates. 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 benefit perspective, which may limit the commercial expectations for our product candidates, if approved. For example, in January 2025, we terminated development of azelaprag, an orally available small molecule agonist of APJ, for obesity and other chronic diseases. The decision followed observations of liver transaminitis without clinically significant symptoms, and without clear dose dependence, in some patients in the azelaprag arms of the STRIDES Phase 2 clinical trial for obesity. This may require longer and more extensive clinical development, or regulatory authorities may increase the amount of data and information required to approve, market or maintain approval for BGE-102 or any future product candidates and could result in warnings and precautions in our product labeling or a restrictive REMS. This may also result in an inability to obtain approval of BGE-102 or any future product candidates. We, the FDA or other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of the approved product due to its tolerability versus other therapies. Further, it is possible that, as we test our product candidates in larger, longer and more extensive clinical trials, including with different dosing regimens, or as the use of our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our business, financial condition, results of operations and prospects.</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future clinical trials at sites outside the United States. The FDA may not accept data from trials conducted in such locations, and the conduct of trials outside the United States could subject us to additional delays and expense.</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acceptance by the FDA or other regulatory authorities of trial data from clinical trials conducted outside their jurisdiction may be subject to certain conditions or may not be accepted at all.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Where foreign clinical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CDMOs, legal counsel, accountants, consultants, contractors and other partners from authorizing, promising, offering, providing, soliciting, or receiving directly or indirectly, corrupt or improper payments or anything else of value to or from recipients in the public or private sector. Export control and sanctions laws may also prohibit or limit our ability to sell or provide our drug candidates to embargoed countries, regions, governments, persons and entities.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4" w:name="page105"/>
    <w:bookmarkEnd w:id="104"/>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could lose all or part of your investment.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subject to wide fluctuations in response to various factors, some of which we cannot control. As a result of this volatility, investors may not be able to sell their common stock at or above the price initially paid for the stock. The market price for our common stock may be influenced by many factors, including the other risks described in this “Risk Factors” section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any product candidates, or those of our competitors or our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or other countries, especially changes in laws or regulations applicable to any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any future commercialization partners, or our competitors, and the timing of these introductions or announcements;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5" w:name="page106"/>
    <w:bookmarkEnd w:id="105"/>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any product candidates, clinical studies, and, if approved,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 if any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any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are able to raise it,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development timelines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stockholders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including global pandemics such as the COVID-19 pandemic;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fluctuating interest rates and inflation.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be dependent on appreciation of the value of our common stock.</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 industry or securities analysts, or the content and opinions included in their reports. If no or few securities or industry analysts continue or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in the public market the market price of our stock could decline significantly.</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we have filed a registration statement (the “Resale Registration Statement”) registering the resale of up to 2,227,124 shares of our common stock, by certain of our stockholders. Sales of our common stock as certain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 at a time and price that you deem appropriate. We also have registered shares of common stock that we may issue under our equity incentive plans. These shares are freely tradeable in the public market.</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in-person operations are located in Emeryville,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are currently a remote-based company with a majority of our employees working remotely, our current in-person operations are located in our research facility in Emeryville,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CDMOs may have a material and adverse effect on our ability to operate our business and have significant negative consequences on our financial and operating conditions. If our facilities, or the manufacturing facilities of our CDMOs, are unable to operate because of an accident or incident or for any other reason, including an inability to use all or a significant portion of our headquarters, damages to critical infrastructure, such as our research facilities or the manufacturing facilities of our CDMOs, or other disruptions to operations, even for a short period of time, any or all of our research and development programs may be harmed. Any business interruption could have a material and adverse effect on our business, financial condition, results of operations and prospects.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tariffs, inflation, a potential recession, potential government shutdowns, uncertainty with respect to federal policy, regulations and employment, military conflict, terrorism or other geopolitical events, such as the armed conflict between the U.S. military and Iran and related disruption in the region. Sanctions or tariffs imposed by the United States and other countries in response to such conflicts may also adversely impact the financial markets and the global economy, and any economic countermeasures by the affected countries or others could exacerbate market and economic instability. In 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We previously kept substantially all of our cash, cash equivalents and marketable securities with SVB, the substantial majority of which was held in a custodial account with another institution, for which SVB Asset Management was the advisor. While we were afforded full access to our cash, cash equivalents and marketable securities with SVB, we may be impacted by other disruptions to the U.S. banking system, including potential delays in our ability to transfer funds whether held with SVB or otherwise.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immediately liquidity may still occur in the future. We regularly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8" w:name="page109"/>
    <w:bookmarkEnd w:id="10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securities litigation, which is expensive and could divert management attention.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remain volatile. Companies that have experienced volatility in the market price of their common stock are often subject to securities class action litigation. For example, on January 7, 2025, a securities class action complaint was filed against us, and certain of our officers and/or directors in the U.S. District Court for the Northern District of California. This or any future securities litigation brought by private parties or government enforcement agencies could result in substantial costs, divert our management’s attention and resources from other business concerns and damage our reputation, which could seriously harm our business, financial condition, results of operations and prospects. Any adverse determination in litigation could also subject us to significant liabilities.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our patients, our collaborators, our business partners, our investors, and our employees and understand how key it is to maintain their confidence in our ability to properly protect and manage our information technology systems, infrastructure and data as part of that trust and confidence. In order to achieve this, our management team and our Board of Directors are actively involved in the oversight of our cybersecurity program as part of our approach to risk management.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I. Item 1A. Risk Factors in this Annual Report on Form 10-K, including "</w:t>
      </w:r>
      <w:r>
        <w:rPr>
          <w:rFonts w:ascii="Times New Roman" w:cs="Times New Roman" w:eastAsia="Times New Roman" w:hAnsi="Times New Roman"/>
          <w:sz w:val="18"/>
          <w:szCs w:val="18"/>
          <w:b w:val="1"/>
          <w:bCs w:val="1"/>
          <w:color w:val="auto"/>
        </w:rPr>
        <w:t>We are dependent on the efficient and uninterrupted operation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technology systems, and those systems, or those of our third-party service providers, may be impacted by security incidents, cyberattacks, loss of data and other disruptions, which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management, including our Senior Director of Information Technology, who has more than two decades of information technology and information technology leadership experience. Our Senior Director of Information Technology, under the supervision of our Chief Financial Officer, manages and monitors our cybersecurity risk (including that presented by our information technology service providers) and is responsible for the day-to-day management of our cybersecurity program, including processes relating to the assessment, identification, prevention, detection, mitigation and remediation of cybersecurity threats and incidents. Our Senior Director of Information Technology is responsible for informing our Chief Financial Officer of relevant cybersecurity risks including, as relevant, the prevention, detection, mitigation and remediation of cybersecurity incidents. Our Chief Financial Officer has over two decades of management experience, including oversight over information technology and cybersecurity matters.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with the assistance of the Audit Committee, has oversight for the cybersecurity risks facing us and for our processes designed to identify, prioritize, assess, manage, and mitigate those risks. As part of its oversight responsibilities, the Audit Committee receives periodic updates from management regarding cybersecurity risks, including the Company’s cybersecurity posture, significant threats, and relevant incidents,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depend on the functioning, availability and security of our information systems, including financial, data processing, communications and operating systems. Several information systems, such as software applications and cloud platforms, are provided by third parties. Our cybersecurity risk framework is designed to allow us to identify, assess and manage the cybersecurity risks we face in relation to our systems and the information we process.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our framework, we maintain certain processes designed to assess, identify and manage risks. For example, we maintain an incident management and response process under which significant cybersecurity threats and incidents are escalated to appropriate management and, where appropriate, reported to the Audit Committee; use manual and automated processes that are designed to monitor relevant information systems for vulnerabilities, threats and incidents; manage and take certain actions designed to address incidents that may occur; and take actions designed to remediate certain vulnerabilities identified in relevant environments. We employ an array of data security technologies, processes, and methods across our infrastructure designed to help protect our systems and sensitive information from unauthorized access. We work with information technology consultants who provide advice and expertise on monitoring evolving industry practices. Our cybersecurity processes also include employee cybersecurity awareness activities and administrative and technical controls designed to help protect the confidentiality, integrity and availability of our information systems and data.</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certain management executives, including our Senior Director of Information Technology and Chief Financial Officer, evaluate material risks from cybersecurity threats in connection with our overall business objectives and report such evaluations to the Audit Committee of the board of directors as appropriate, which then evaluates our overall enterprise risks.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third parties above, we use additional third-party service providers to perform a variety of functions throughout our business, such as enterprise and employee management platforms, labs, contract research organizations, contract manufacturing organizations, and supply chain resources. Depending on the nature of the services provided, the sensitivity of the information systems and data at issue, and the identity of the provider, we take steps designed to address cybersecurity risks that such service providers may present to us, such as conducting diligence into such service providers’ cybersecurity practices and risk profiles and, where appropriate, implementing contractual protections and ongoing oversight designed to mitigate cybersecurity risks associated with those service providers.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identified any cybersecurity incidents that have materially affected, or are reasonably likely to materially affect,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currently occupy approximately 10,479 square feet of office and laboratory space at our headquarters located in Emeryville, California (the "Emeryville Lease"). The Emeryville Lease expires in February 2031.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7, 2025, a putative securities class action complaint was filed against us and certain of our officers and directors in the United States District Court for the Northern District of California (the "Court"). The complaint alleged violations of Section 11 and Section 15 of the Securities Act of 1933, based on allegations that defendants misrepresented and/or omitted certain information in our Registration Statement concerning azelaprag. An amended complaint was filed on June 2, 2025. On October 30, 2025, the Court entered an order granting defendants’ motion to dismiss without prejudice. On November 20, 2025, a further amended complaint was filed. On March 2, 2026, the Court entered an order granting defendants’ further motion to dismiss with prejudice. Plaintiff must file any notice of appeal within 30 days after entry of judgment.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arising in the ordinary course of business. In the opinion of management, we do not believe that the matter described above, or any other pending legal proceedings, is material to our business, financial condition or results of operations. Regardless of the outcome, litigation can have an adverse impact on us due to defense and settlement costs, diversion of management resources, negative publicity and reputational harm.</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8, Commitments and Contingencies, to the consolidated financial statements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September 26, 2024, our common stock began trading on The Nasdaq Global Select Market under the symbol “BIOA.” Prior to such time,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19, 2026, there were approximately 32 holders of record of our common stock. This number does not include “street name” or beneficial holders, whose shares are held of record by banks, brokers, financial institutions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25, 2024, our Registration Statement on Form S-1 (No. 333-281901) was declared effective by the SEC, pursuant to which we issued and sold an aggregate of 12,650,000 shares of common stock (inclusive of 1,650,000 shares of common stock sold pursuant to the underwriters’ exercise of their option to purchase additional shares) at a public offering price of $18.00 per share for aggregate gross proceeds of $227.7 million and aggregate net cash proceeds of $207.3 million, after deducting approximately $15.9 million in underwriting discounts and commissions and approximately $4.5 million in offering costs. Concurrently with the initial public offer, we also completed a private placement, in which we issued and sold an aggregate of 588,888 shares of our common stock at a price of $18.00 per share to Sofinnova Venture Partners, XI, L.P. The aggregate cash purchase price of the private placement shares was $10.6 million, resulting in aggregate net cash proceeds of $9.9 million, after deducting approximately $0.7 million in placement agent fees. Our IPO and concurrent private placement closed on September 27, 2024. Goldman Sachs &amp; Co, LLC, Morgan Stanley, Jefferies LLC and Citigroup acted as joint book-running managers for the offering and placement agents for the concurrent private placement. In connection with our IPO and concurrent private placement, no payments for such expenses were made directly or indirectly to (i) any of our officers or directors or their associates, (ii) any persons owning 10% or more of any class of our equity securities or (iii) any of our affiliates.</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plan to use the net proceeds from our initial public offering to fund research, clinical and process development and manufacturing of our product candidates, including BGE-102 and our APJ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December 31, 2025, we did not 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Annual Report on Form 10-K and with our consolidated financial statements and the notes thereto for the year ended December 31, 2024 included on Form 10-K filed with the Securities and Exchange Commission on March 20, 2025. This discussion and analysis and other parts of this Annual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Annual Report.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therapeutic product candidates for metabolic diseases by targeting the biology of human aging. Our technology platform and differentiated human datasets enable us to identify promising targets based on insights into molecular changes that drive aging.</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announced the nomination of our lead program, BGE-102, a potent, structurally novel, orally available, brain-penetrant small-molecule NLRP3 inhibitor. BGE-102 has a distinct mechanism and binding site from other NLRP3 inhibitors in development with issued patents covering both composition of matter and claims for the unique binding site.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2025, we announced that BGE-102 was well-tolerated in Single Ascending Dose (SAD) and initial Multiple Ascending Dose (MAD) cohorts, with a pharmacokinetic profile supporting once-daily oral dosing, strong target engagement and high brain penetration.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advance BGE-102 in two therapeutic areas: cardiometabolic disease and ophthalmology.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first therapeutic area for BGE-102 is cardiometabolic disease, with a focus on atherosclerotic cardiovascular disease (ASCVD) risk reduction. Chronic systemic inflammation, as measured by high-sensitivity C-reactive protein (hsCRP), is an independent risk factor for cardiovascular events that is not adequately addressed by current lipid-lowering and antihypertensive therapies. In January 2026, we announced additional positive interim Phase 1 data, demonstrating potential for best-in-class hsCRP reduction in participants with elevated cardiovascular risk. In obese participants with elevated hsCRP, BGE-102 demonstrated an 86% median reduction in hsCRP at Day 14, with 93% of participants achieving hsCRP levels below 2 mg/L — the threshold associated with a 25% reduction in major adverse cardiovascular events. This level of hsCRP reduction is comparable to injectable anti-IL-6 monoclonal antibodies in clinical development for ASCVD, but achieved with once-daily oral dosing. We anticipate full Phase 1 SAD / MAD clinical trial results in the first half of 2026. We plan to initiate a Phase 2a proof-of-concept trial in patients with obesity and elevated hsCRP in the first half of 2026, with results anticipated by 2026 year end.</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second therapeutic area for BGE-102 is ophthalmology. Diabetic macular edema (DME) is our first proof-of-concept indication in this area. DME affects approximately 1 million patients in the United States, and current intravitreal therapies face significant unmet need due to high injection burden and a substantial refractory population — approximately 45% of patients demonstrate refractoriness to anti-vascular endothelial growth factor (VEGF) therapy. In a preclinical model of DME, oral BGE-102 demonstrated dose-dependent preservation of retinal vascular integrity, achieving near-complete protection from vascular leakage and up to 90% preservation of microvascular integrity. We plan to initiate a Phase 1b/2a proof-of-concept trial in DME in mid-2026 with results anticipated in mid-2027. The goal is to demonstrate ocular target engagement, supporting future development across inflammation-driven retinal diseases.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Beyond NLRP3 inhibition, we are also developing novel apelin receptor APJ agonists for obesity, including programs targeting both oral and parenteral (subcutaneous) administration. In preclinical obesity models, APJ agonism has demonstrated the ability to more than double the weight loss induced by a glucagon-like peptide-1 receptor (GLP-1R) agonist while also restoring healthy body composition and improving muscle function. In June 2025, we announced an option agreement with JiKang Therapeutics for a novel APJ agonist antibody, as well as the filing of a U.S. provisional patent for novel small molecule APJ agonists. We intend to file the first Investigational New Drug application (IND) for an APJ program by 2026 year end.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also advancing earlier stage platform-derived programs in collaboration with Eli Lilly and Company (Lilly), and have an ongoing target discovery collaboration with Novartis Pharma AG (Novartis).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product candidates and ongoing collaborations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171450</wp:posOffset>
            </wp:positionV>
            <wp:extent cx="5760720" cy="2348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607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of our efforts to organizing and staffing our company, business planning, raising capital, establishing our intellectual property portfolio, acquiring or discovering product candidates, research and development activities for our product candidates, establishing arrangements with third parties for the manufacture of our product candidates and component materials, and providing general and administrative support for these operations. We do not have any products approved for sale and have not generated any revenue from product sales. Our primary uses of capital are, and we expect will continue to be, research and development services, compensation and related expenses and general overhead costs.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Our ability to generate product revenue sufficient to achieve profitability will depend heavily on the successful development and eventual commercialization of any future product candidates. Our net losses were $80.6 million and $71.1 million for the years ended December 31, 2025 and 2024, respectively. As of December 31, 2025, we had an accumulated deficit of $333.4 million. We expect to continue to incur net operating losses for the foreseeable future, and we expect our research and development expenses, general and administrative expenses, and capital expenditures will increase substantially in connection with our ongoing activities, particularly if, and as, we:</w:t>
      </w:r>
    </w:p>
    <w:p>
      <w:pPr>
        <w:spacing w:after="0" w:line="79"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lead product candidate, BGE-102;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additional indications for our existing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preclinical, clinical and potentially commercial supplies of BGE-102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BGE-102 or for any future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BGE-102 or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evaluate and establish licenses, collaborations or other strategic partnerships;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4" w:name="page115"/>
    <w:bookmarkEnd w:id="114"/>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scientific and management personnel, as well as administrative staff to support the growth of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net losses may fluctuate significantly from period to period, depending on the timing of factors above.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BGE-102 or a future product candidate. In addition, if we obtain regulatory approval for BGE-102 or a future product candidate and do not enter into a third-party commercialization partnership, we expect to incur significant expenses related to developing our commercialization capability to support product sales, marketing, manufacturing and distribution activities.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if ever, as we can generate substantial product revenues, we expect to finance our cash needs through equity offerings, debt financings or other capital sources, which could include licenses, collaborations, or other strategic partnerships.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 Our ability to raise additional funds may also be adversely impacted by potential worsening global macroeconomic, industry and market conditions in either domestic or international markets, as well as economic conditions specifically affecting industries in which we operate, including but not limited to, actual or perceived instability in the banking industry, potential uncertainty with respect to the U.S. federal debt ceiling and budget and any future government shutdowns related thereto, labor shortages, supply chain disruptions, potential recession, inflation and changing interest rates, significant trade or regulatory developments, including tariffs or shifting priorities within the U.S. Food and Drug Administration, and political instability and military hostilities in multiple geographies, such as the conflicts in Ukraine, the Middle East, and tensions between China and Taiwan.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development of product candidates,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oversee and manage third party Contract Development and Manufacturing Organizations (CDMOs) to support development and manufacture of our future product candidates. We expect to enter into commercial supply agreements with commercial manufacturers prior to any potential regulatory approval of any future product candidates. We believe our current manufacturers are able to supply the upcoming preclinical and clinical trials of future product candidates. Additional CDMOs may be on-boarded at later stages of clinical and commercial development for future product candidates.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$285.1 million in cash, cash equivalents and marketable securities. Based on our current operating plan, we estimate that our existing cash, cash equivalents and marketable securities as of the filing date of this Annual Report will be sufficient to fund our operations and capital expenses through 2029. However, we have based this estimate on assumptions that may prove to be wrong, and we could exhaust our available capital resources sooner than we expect. See the section titled "Liquidity and Capital Resources" included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Novartis Pharma AG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16, 2024, we entered into a collaboration agreement with Novartis to identify and validate novel therapeutic drug targets by investigating the biological mechanisms that drive diseases related to aging and mediate the beneficial effects of physical exercise (the "Novartis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Novartis Agreement, we are obligated to perform additional analyses on our longitudinal human aging cohort datasets, to expand data included in our discovery platform, and perform other activities to enable the identification and validation of novel therapeutic drug targets.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under the Novartis Agreement, we have received and may receive upfront payments and research funding of up to $20.0 million, and up to $530.0 million in future long-term research, development, and commercial milestones. We and Novartis each have the right to advance novel targets discovered under the Novartis Agreement and are each eligible to receive reciprocal success milestones and receive tiered royalties on net sales of licensed products.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Collaboration revenue of $9.0 million was recognized under the Novartis Agreement in the year ended December 31, 2025. No collaboration revenue was recognized under the Novartis Agreement in the year ended December 31, 2024. During the year ended December 31, 2025, we recorded $6.7 million in revenue that was included in deferred revenue as of December 31, 2024 and $2.2 million in revenue related to research funding for reimbursable costs incurred during the year ended December 31, 2025. Deferred revenue related to the Novartis Agreement amounted to $5.8 million and $12.5 million as of December 31, 2025, and December 31, 2024, respectively, of which $5.8 million and $7.8 million, respectively, was included in current liabilities within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product revenue since our inception and do not expect to generate any revenue from the sale of products in the near future, if at all. If our development efforts for BGE-102 or other product candidates that we may develop in the future are successful and result in marketing approval, we may generate revenue from product sales.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recognized, and expect to recognize, collaboration revenue in the future from the Novartis Agreement, which may include amounts related to upfront payments, milestone payments, and research and development funding.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costs incurred in connection with the discovery, preclinical development, clinical development and manufacturing of our former lead product candidate, azelaprag, our lead product candidate, BGE-102, and other potential future product candidates, and include: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Direct Costs:</w:t>
      </w:r>
    </w:p>
    <w:p>
      <w:pPr>
        <w:spacing w:after="0" w:line="229" w:lineRule="exact"/>
        <w:rPr>
          <w:sz w:val="20"/>
          <w:szCs w:val="20"/>
          <w:color w:val="auto"/>
        </w:rPr>
      </w:pPr>
    </w:p>
    <w:p>
      <w:pPr>
        <w:jc w:val="both"/>
        <w:ind w:left="102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our clinical trials; CDMOs that are primarily engaged to provide drug substance and product for our clinical trials and preclinical studies, research and development programs, as well as investigative sites and consultants that conduct our clinical trials, preclinical studies and other scientific development services;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preclinical and 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8"/>
          <w:szCs w:val="18"/>
          <w:b w:val="1"/>
          <w:bCs w:val="1"/>
          <w:color w:val="auto"/>
        </w:rPr>
        <w:t>Indirect Costs:</w:t>
      </w:r>
    </w:p>
    <w:p>
      <w:pPr>
        <w:spacing w:after="0" w:line="229"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stock-based compensation expenses and other related costs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other expenses not directly tied to a program.</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development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to date have been third-party direct costs, which we disclose on an individual product candidate basis after the completion of IND-enabling activities for that product candidate. However, our indirect costs are not directly tied to any one program and are deployed across our programs. As such, we do not track these costs on a specific program basis. We utilize third party contractors for our research and development activities and CDMOs for our manufacturing activities and we do not have our own manufacturing facilities.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substantially for the foreseeable future as we progress BGE-102 into additional clinical trials, continue to discover and develop additional product candidates, expand our headcount and costs related to our existing and potential future intellectual property licenses. Later stages of clinical development generally have higher development costs than those in earlier stages, primarily due to the increased size and duration of later-stage clinical trials. There are numerous factors associated with the successful development and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may vary significantly in the future based on factors, such as:</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IND-enabling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or license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choose to partner any of our product candidates and the terms of such partnership.</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in the outcome of any of these variables with respect to the development of our lead product candidate, BGE-102, or any future product candidates in preclinical and clinical development could mean a significant change in the costs and timing associated with the development of these product candidates. For example, if the FDA, European Medicines Agency or another regulatory authority were to delay our planned start of clinical trials or require us to conduct clinical trials or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18"/>
          <w:szCs w:val="18"/>
          <w:color w:val="auto"/>
        </w:rPr>
        <w:t>testing beyond those that we currently expect, or if we experience significant delays in enrollment in any clinical trials following the applicable regulatory authority’s acceptance and clearance, we could be required to expend significant additional financial resources and time to complete clinical development than we currently expect. We may never obtain regulatory approval for any product candidates that we develop.</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BGE-102 or any other product candidates we may develop in the future is highly uncertain. Therefore, we cannot reasonably estimate or know the nature, timing and estimated costs of the efforts that will be necessary to complete the development and commercialization of BGE-102, our APJ programs or any future product candidates we may develop. We are also unable to predict when, if ever, material net cash inflows will commence from the sale of BGE-102 or any future product candidate, if approved. This is due to the numerous risks and uncertainties associated with product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benefits, and stock-based compensation expenses for individuals in executive, finance, corporate, business development, and administrative functions. Other significant general and administrative expenses include legal fees relating to patent, intellectual property and corporate matters, and fees paid for accounting, consulting and other professional services, allocated expenses for rent, insurance and other operating costs.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continue to increase in the foreseeable future as our business expands to support our continued research and development activities, including any future clinical trials.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related to compliance with the rules and regulations of the SEC, listing standards applicable to companies listed on a national securities exchange, director and officer insurance premiums and investor relations costs. In addition, if we obtain regulatory approval for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incurred on both our convertible promissory notes and term loan.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primarily consist of interest income generated from interest bearing cash,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Changes in Fair Value of Warrants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Gain (loss) on changes in fair value consists of assessed changes in fair value of warrants to purchase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Promissory Notes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Loss on extinguishment of convertible promissory notes consists of the difference between the carrying value of our convertible promissory notes (including accrued interest) and related embedded derivative liability and the fair value of shares issued upon conversion of our convertible promissory notes into our Series D-1 Redeemable Convertible Preferred Stock in February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in each period or for our research and development tax credits, as we believe, based upon the weight of available evidence, that it is more likely than not that all of our net operating loss carryforwards and tax credits will not be realized. As of December 31, 2025, we had U.S. federal and state net operating loss carryforwards of $204.1 million and $15.9 million, respectively, which expire at various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color w:val="auto"/>
        </w:rPr>
        <w:t>dates beginning in 2035. These attributes may be subject to Section 382 limitation and we have not performed a formal assessment. As of December 31, 2025 and December 31, 2024, we have recorded a full valuation allowance against our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gridSpan w:val="2"/>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8,995</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73,966</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27,809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19,158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8,651</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101,775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78,194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23,581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(92,780)</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(loss) from changes in fair value of warrants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12,175</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7,085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(80,605)</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-1293495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-1293495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-1293495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for the year ended December 31, 2025 was $9.0 million, compared to no collaboration revenue for the year ended December 31, 2024. The $9.0 million increase in collaboration revenue was the result of revenue recognized under the Novartis Agreement, as work commenced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gridSpan w:val="2"/>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azelaprag</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2,826</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29,265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BGE-102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17,131</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14,407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programs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24,349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Indirect costs:</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Personnel-related expenses (including stock-based compensation expense)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Allocated facility and other expenses</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5,700</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73,966</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59,036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tcPr>
          <w:p>
            <w:pPr>
              <w:spacing w:after="0"/>
              <w:rPr>
                <w:sz w:val="24"/>
                <w:szCs w:val="24"/>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6"/>
              </w:rPr>
              <w:t>116</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-1079500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-1079500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-1079500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9" w:name="page120"/>
    <w:bookmarkEnd w:id="11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$14.9 million from $59.0 million for the year ended December 31, 2024 to approximately $73.9 million for the year ended December 31, 2025. The increase in research and development expenses was primarily attributable to a $24.3 million increase in direct costs related to other programs, which was primarily related to work performed under the Novartis Agreement as well as licensing, discovery, and development activities related to our novel apelin receptor APJ agonist programs during the year ended December 31, 2025. Additionally, direct costs related to our BGE-102 program increased $14.4 million associated with IND-enabling activities, drug-product manufacturing and our ongoing Phase 1 SAD / MAD clinical trial.</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contributing to the increase in research and development expenses was a $1.2 million increase in personnel-related expenses, driven by stock-based compensation grants to employees, and a $1.4 million increase in allocated facility and other expenses primarily related to facility expenses for our Emeryville Lease (defined below) and an increase in non-program specific consulting fees. These higher costs were partially offset by a $26.4 million reduction in azelaprag direct costs as development was terminated in January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$8.6 million from $19.2 million for the year ended December 31, 2024 to $27.8 million for the year ended December 31, 2025. The increase was primarily driven by a $3.9 million increase in personnel-related expenses, largely due to an increase in stock-based compensation expense associated with new option grants issued to employees, executives, board members and advisors. Additionally contributing to the increase in general and administrative expenses was a $2.9 million increase in legal fees, a $1.2 million increase in franchise taxes and insurance, primarily related to our public company director and officer insurance policy, and a $0.6 million increase in information technology and equipment costs, primarily related to software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net increased by approximately $5.1 million from $7.1 million for the year ended December 31, 2024 to $12.2 million of other income for the year ended December 31, 2025. This increase in other income was primarily attributable to a $3.5 million increase in interest income driven by our higher cash, cash equivalents and marketable securities balance. Further contributing to the increase in other income was a $1.7 million decrease in interest expense, a $0.3 million decrease in loss on extinguishment of debt related to our convertible promissory notes that converted into Series D-1 redeemable convertible preferred stock in February 2024, partially offset by a $0.3 million increase in loss from changes in fair value on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 each period and on an aggregate basis. We have not yet commercialized any product candidates, and we do not expect to generate revenue from sales of any product candidates for the foreseeable future, if at all. As of December 31, 2025, we had $285.1 million in cash, cash equivalents and marketable securities and we had an accumulated deficit of $333.4 million.</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2022, we entered into a loan and security agreement (the Loan Agreement) with SVB Innovative Credit Growth Fund IX, LP and Innovative Credit Growth Fund VIII-A, LP pursuant to which we were able to borrow up to an aggregate of $25.0 million across two potential tranches until December 31, 2023 (the Term Loan). The Loan Agreement has a floating interest rate of the higher of the Wall Street Journal Prime rate plus 4.00% or 7.5%. The amounts borrowed under the Loan Agreement are scheduled to mature on April 1, 2026 and commencing on November 1, 2023 we are required to make monthly principal payments. In addition, we will also be required to pay a final payment fee equal to 4.4% of the total amount borrowed. As of December 31, 2025, we had $2.0 million outstanding under the Loan Agreement. See Note 5 to our consolidated financial statements included elsewhere in this Annual Report for further discussion of the Loan Agreement.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2025, we filed a shelf registration statement on Form S-3 (the “Shelf Registration Statement”) which became effective through the operation of law in November 2025. The Shelf Registration Statement permits the offering of up to $250.0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connection with the Shelf Registration Statement, we entered into a Sales Agreement (the “Sales Agreement”) with Leerink Partners LLC (“Leerink”) relating to the applicable terms of at-the-market equity offerings (the “ATM Facility”) pursuant to which we may, but are not obligated to, offer and sell, from time to time, shares of our common stock with an aggregate offering price up to $75.0 million through Leerink, as sales agent in the ATM Facility.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sold an aggregate of 1,400,000 shares of our common stock through our ATM Facility pursuant to the Sales Agreement. The gross proceeds from these sales were approximately $17.6 million, before deducting sales agent commission and offering costs of approximately $0.5 million, resulting in net proceeds of approximately $17.1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we completed an underwritten public offering of our common stock, issuing 5,897,435 shares at a public offering price of $19.50 per share for net proceeds of $107.6 million, after underwriting discounts and commissions and estimated offering costs (the “January 2026 Offering”). The January 2026 Offering included a 30-day option for the underwriters to purchase up to 884,615 additional shares.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2026, we issued 884,615 shares of our common stock upon exercise of the underwriters’ option in the January 2026 Offering, resulting in net proceeds of $16.2 million, net of underwriting discounts and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presented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10"/>
        </w:trPr>
        <w:tc>
          <w:tcPr>
            <w:tcW w:w="6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(81,627)</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381,199</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1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329,392</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$81.6 million, and was primarily due to our net loss of $80.6 million and a $11.8 million change in operating assets and liabilities, primarily driven by a $6.7 million decrease in deferred revenue related to revenue recognized under the Novartis Agreement. These changes were partially offset by non-cash adjustments of $10.8 million, which was primarily driven by $11.7 million in stock-based compensation expense and partially offset by $1.6 million in accretion of net investment discounts related to marketable securities.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$51.5 million, and was primarily due to our net loss of $71.1 million, which included non-cash charges of $7.0 million related to stock-based compensation expense, $1.0 million related to non-cash interest expense, and a $0.3 million loss on extinguishment of convertible promissory notes. Also contributing to net cash used in operating activities for the year ended December 31, 2024 was a $3.3 million decrease in deferred grant income, partially offset by a $12.5 million increase in deferred revenue related to the Novartis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$95.2 million and included cash outflows of $154.8 million related to the purchase of marketable securities as well as $0.7 million related to the purchase of property and equipment. These changes were partially offset by maturities of marketable securities of $60.3 million.</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$0.4 million, resulting from $0.4 million in purchases of property and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2025 was $11.5 million, driven primarily by $17.1 million in net proceeds from the issuance of common stock through our ATM facility, after commissions and issuance costs, and $0.7 million of proceeds from stock option exercises. These amounts were partially offset by $6.0 million in principal payments on our Term Loan and $0.3 million of deferred offering costs paid.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was $381.2 million, resulting from $207.2 million in net proceeds from our IPO, $9.9 million in net proceeds from the sale of our common stock through a private placement transaction, $169.5 million in net proceeds from the issuance and sale of our Series D redeemable convertible preferred stock and $0.6 million in proceeds from stock option exercises partially offset by $6.0 million in principal payments on our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services, compensation and related expenses and general overhead costs. We expect to continue to incur significant expenses and operating losses for the foreseeable future.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as of the filing date of this Annual Report will be sufficient to fund our operations and capital expenses through 2029. However, we have based this estimate on assumptions that may prove to be wrong, and we could exhaust our available capital resources sooner than we expect.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regulatory submissions and timing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in the future enter into licenses, collaborations or other strategic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licenses, collaborations or other strategic partnerships with third parties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by third parties;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any future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to satisfy our obligations as a public company.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BGE-102 or any product or development candidate we may develop in the future could significantly change the costs and timing associated with our development plans. Further, our operating plans may change in the future, and we may need additional funds to meet operational needs and capital requirements associated with such operating plans.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equity offerings, debt financings or other capital sources, which could include licenses, collaborations, or other strategic partnerships. We currently have no credit facility or committed sources of capital. Adequate additional funds may not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2" w:name="page123"/>
    <w:bookmarkEnd w:id="122"/>
    <w:p>
      <w:pPr>
        <w:jc w:val="both"/>
        <w:spacing w:after="0" w:line="254" w:lineRule="auto"/>
        <w:rPr>
          <w:sz w:val="20"/>
          <w:szCs w:val="20"/>
          <w:color w:val="auto"/>
        </w:rPr>
      </w:pPr>
      <w:r>
        <w:rPr>
          <w:rFonts w:ascii="Times New Roman" w:cs="Times New Roman" w:eastAsia="Times New Roman" w:hAnsi="Times New Roman"/>
          <w:sz w:val="18"/>
          <w:szCs w:val="18"/>
          <w:color w:val="auto"/>
        </w:rPr>
        <w:t>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lease office and lab space at our corporate headquarters in Emeryville, CA (the Emeryville Lease). The Emeryville lease is accounted for as an operating lease and expires on February 28, 2031. Non-cancellable base rent lease obligations as of December 31, 2025 were $3.9 million, of which $0.6 million is due within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Other Obligations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third-party vendors for preclinical research studies and testing, clinical trials and testing and manufacturing services. Most contracts do not contain minimum purchase commitments and are cancellable by us upon written notice. Payments due upon cancellation consist of payments for services provided or expenses incurred, including non-cancelable obligations of our service provided up to one year after the date of cancellation.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United States Generally Accepted Accounting Principles (GAAP). The preparation of these consolidated financial statements requires us to make estimates and judgments that affect the reported amounts of assets and liabilities and the reported amounts of income and expenses during the reporting period. We continually evaluate our estimates and judgments used in preparing our consolidated financial statements and related disclosures. All estimates affect reported amounts of assets, liabilities, income and expenses. These estimates and judgments are also based on historical experience and other factors that are believed to be reasonable under the circumstances. Materially different results can occur as circumstances change and additional information becomes known.</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"Notes to the Consolidated Financial Statements - Note 2" appearing elsewhere in this Annual Report, we believe that the following accounting policies are the most critical for fully understanding and evaluating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Expenses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and prepaid third-party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and prepaid expenses as of each balance sheet date based on facts and circumstances known to us at that time. We periodically confirm the accuracy of our estimates with the service providers and make adjustments if necessary. The significant estimates in our accrued and prepaid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activities on our behalf. The financial terms of these agreements are subject to negotiation, vary from contract to contract and may result in uneven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8"/>
          <w:szCs w:val="18"/>
          <w:color w:val="auto"/>
        </w:rPr>
        <w:t>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Compensation cost for our stock-based payments to employees, non-employees and directors, are based on estimated fair value of the awards on the date of grant. Our stock-based compensation awards are generally subject to service-based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The fair value of each stock option is estimated on the grant date using the Black-Scholes option pricing model, which requires inputs based on certain subjective assumptions, including:</w:t>
      </w:r>
    </w:p>
    <w:p>
      <w:pPr>
        <w:spacing w:after="0" w:line="75"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issues in effect at the time of grant for periods corresponding with the expected term of option.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of options represents the average period the stock options are expected to remain outstanding. As we do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Volatility—Since we do not have sufficient history to estimate the expected volatility of our common stock price, expected volatility is estimated based on the average historical volatility of similar entities with publicly traded shares. When selecting comparable publicly traded biopharmaceutical companies on which we have based our expected stock price volatility, we selected companies with comparable characteristics, including enterprise value, risk profiles, development stage, and with historical share price information sufficient to meet the expected term of the stock-based awards.</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Yield—We have never paid dividends on our common stock and have no plans to pay dividends on our common stock. Therefore, we used an expected dividend yield of zero.</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of Common Stock—Prior to our IPO, the fair value of the underlying common stock at the date of grant was determined based on a valuation of our common stock. Subsequent to our IPO, the fair value of the underlying common stock is determined based on the quoted market price of our common stock on the NASDAQ.</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See Note 7 to our audited consolidated financial statements included elsewhere in this Annual Report for information concerning certain of the specific assumptions we used in applying the Black-Scholes option pricing model to determine the estimated fair value of our stock options granted in the years ended December 31, 2025 and 2024.</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recorded stock-based compensation expense of $11.7 million and $7.0 million for the years ended December 31, 2025 and 2024, respectively. As of December 31, 2025, there was $23.8 million of unrecognized stock-based compensation expense related to unvested stock options, to be recognized over a weighted-average period of 2.5 years. In future periods, we expect our stock-based compensation expense to increase, due in part to our existing unrecognized stock-based compensation expense and as we grant additional stock-based awards to continue to attract and retain our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revenues are generated primarily through collaborative research, license, development and commercialization agreements. The terms of these agreements generally contain multiple elements, or deliverables, which may include (i) licenses, or options to obtain licenses, to use our technology, (ii) research and development activities to be performed on behalf of the collaborative partner, and (iii) in certain cases, services in connection with the manufacturing of preclinical and clinical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material. Payments we receive under these arrangements typically include one or more of the following: non-refundable, upfront license fees; option exercise fees; funding of research and/or development efforts; clinical and development, regulatory, and sales milestone payments; and royalties on future product sales. We classify payments received under these agreements as revenues within our statements of operations.</w:t>
      </w:r>
    </w:p>
    <w:p>
      <w:pPr>
        <w:spacing w:after="0" w:line="17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evaluate the performance obligations promised in the contract that are based on goods and services that will be transferred to the customer and determine whether those obligations are both (i) capable of being distinct and (ii) distinct in the context of the contract. Goods or services that meet these criteria are considered distinct performance obligations. If both these criteria are not met, the goods and services are combined into a single performance obligation. We then recognize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We assess if these options provide a material right to the customer and, if so, these options are considered performance obligations. The exercise of a material right is accounted for as a contract modification for accounting purposes.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as revenue the amount of the transaction price that is allocated to the respective performance obligation when (or as) each performance obligation is satisfied at a point in time or over time, and if over time this is based on the use of an output or input method.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Invoices issued as stipulated in contracts prior to revenue recognition are recorded as deferred revenue. Amounts expected to be recognized as revenue within the 12 months following the balance sheet date are classified as deferred revenue within current liabilities in our balance sheets. Amounts not expected to be recognized as revenue within the 12 months following the balance sheet date are classified as noncurrent deferred revenue. Amounts recognized as revenue, but not yet invoiced are generally recognized as contract assets in the other current assets line item in our balance sheets.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Milestone Payments – 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Royalties – For arrangements that include sales-based royalties, including milestone payments based on a level of sales,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Collaborative Arrangements – We have entered into collaboration agreements, which are within the scope of ASC 606, to discover, develop, manufacture and commercialize product candidates. The terms of these agreements typically contain multiple promises or obligations, which may include:</w:t>
      </w:r>
    </w:p>
    <w:p>
      <w:pPr>
        <w:jc w:val="both"/>
        <w:ind w:firstLine="8"/>
        <w:spacing w:after="0" w:line="253"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or options to obtain licenses, to use our technology, (2) research and development activities to be performed on behalf of the collaboration partner, and (3) in certain cases, services in connection with the manufacturing of preclinical and clinical material. Payments we receive under these arrangements typically include one or more of the following: non-refundable, upfront license fees; option exercise fees; funding of research and/or development efforts; clinical and development, regulatory, and sales milestone payments; and royalties on future product sales.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5" w:name="page126"/>
    <w:bookmarkEnd w:id="125"/>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analyze our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those that are more reflective of a vendor-customer relationship and, therefore, are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we apply the five-step model described above.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related to performance obligations satisfied over time could be materially impacted as a result of changes in the estimated research effort to satisfy performance obligations or changes in the transaction price related to variable consideration. In the year ended December 31, 2025, we did not record any cumulative catch-up adjustments 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Section 107(b) of the JOBS Act an “emerging growth company” can delay the adoption of new or revised accounting standards until such time as those standards would apply to private companies. We have elected this exemption to delay adopting new or revised accounting standards until such time as those standards apply to private companies. Where allowable we have early adopted certain standards as described in Note 2 of our consolidated financial statements included elsewhere in this Annual Report As a result, our consolidated financial statements may not be comparable to companies that comply with the new or revised accounting pronouncements as of public company effective dates. We will continue to remain an “emerging growth company” until the earliest of the following: (i) the last day of the fiscal year following the fifth anniversary of the date of the completion of our IPO; (ii) the last day of the fiscal year in which our total annual gross revenue is equal to or more than $1.235 billion; (iii) the date on which we have issued more than $1.0 billion in nonconvertible debt during the previous three years; or (iv) the date on which we are deemed to be a large accelerated filer under the rules of the SEC.</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will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and are incorporated herein by reference. An index of those financial statements is found in Item 15 of Part IV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Principal Executive Officer and Principal Financial Officer concluded that our disclosure controls and procedures were effective at the reasonable assurance level as of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2025, our internal control over financial reporting was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For as long as we remain a “smaller reporting company” as defined in Item 10(f)(1) of Regulation S-K, and a non-accelerated filer as defined in the Exchange Act,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of the Exchange Act) during the year ended December 31, 2025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10b5-1 Plans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16, 2025, Shane Barton, C.P.A., the Company’s Principal Accounting Officer, adopted a Rule 10b5-1 trading plan. Mr. Barton's Rule 10b5-1 trading plan is intended to satisfy the affirmative defense conditions of Rule 10b5-1(c) and provides for the potential sale of up to 2,632 shares of the Company’s common stock held by Mr. Barton at a minimum price of $25.00 per share until June 14, 2027. Mr. Barton's Rule 10b5-1 trading plan also provides for the potential exercise and sale of up to 125,610 shares of the Company’s common stock subject to a stock option held by Mr. Barton at a minimum price of $25.00 per share until June 14, 2027.</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Rule 10b5-1 plan listed above each included a representation from the director or officer to the broker administering the plan that they were not in possession of any material nonpublic information regarding the Company or the securities subject to the plan. A similar representation was made to the Company by each director or officer in a certification provided to us in connection with the adoption of the plan under the Company’s insider trading policy. Those representations were made as of the date of adoption of each 10b5-1 plan or certification, as applicable, and speak only as of those dates. In making those representations, there is no assurance with respect to any material nonpublic information of which the director or officer was unaware, or with respect to any material nonpublic information acquired by the director or officer or the Company after the applicable date of the representation.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included in our definitive proxy statement ("2026 Proxy Statement") to be filed with the SEC within 120 days of the end of our fiscal year covered by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promoting high standards of ethical business conduct and compliance with applicable laws, rules and regulations. As part of this commitment, we have adopted an Insider Trading Policy governing the purchase, sale, and other dispositions of BioAge securities that applies to all BioAge personnel, including directors, officers, employees, and other covered persons. The Insider Trading Policy also provides that BioAge will not transact in its own securities unless in compliance with U.S. securities laws. We believe that our Insider Trading Policy is reasonably designed to promote compliance with insider trading laws, rules and regulations, and the exchange listing standards applicable to us. A copy of our Insider Trading Policy is filed as Exhibit 19.1 to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officers, directors, and employees, including our principal executive officer, principal financial officer, principal accounting officer, and controller, or persons performing similar functions, which is posted on our website. Our Code of Conduct is a “code of ethics,” as defined in Item 406(b) of Regulation S-K. We will make any legally required disclosures regarding amendments to, or waivers of, provisions of our Code of Conduct on our website. The information contained on, or accessible from, our website is not part of this Annual Report on Form 10-K by reference or otherwise.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2026 Proxy Statement to be filed with the SEC within 120 days of the end of our fiscal year covered by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to be filed with the SEC within 120 days of the end of our fiscal year covered by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to be filed with the SEC within 120 days of the end of our fiscal year covered by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to be filed with the SEC within 120 days of the end of our fiscal year covered by this Annual Report on Form 10-K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to be filed with the SEC within 120 days of the end of our fiscal year covered by this Annual Report on Form 10-K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F-25 attached hereto and are filed as part of this Annual Report on Form 10-K.</w:t>
      </w:r>
    </w:p>
    <w:p>
      <w:pPr>
        <w:spacing w:after="0" w:line="3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777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777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508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Loss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2736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73675" cy="8255"/>
                    </a:xfrm>
                    <a:prstGeom prst="rect">
                      <a:avLst/>
                    </a:prstGeom>
                    <a:noFill/>
                  </pic:spPr>
                </pic:pic>
              </a:graphicData>
            </a:graphic>
          </wp:anchor>
        </w:drawing>
      </w:r>
    </w:p>
    <w:p>
      <w:pPr>
        <w:ind w:right="160"/>
        <w:spacing w:after="0" w:line="250" w:lineRule="auto"/>
        <w:rPr>
          <w:sz w:val="20"/>
          <w:szCs w:val="20"/>
          <w:color w:val="auto"/>
        </w:rPr>
      </w:pPr>
      <w:r>
        <w:rPr>
          <w:rFonts w:ascii="Times New Roman" w:cs="Times New Roman" w:eastAsia="Times New Roman" w:hAnsi="Times New Roman"/>
          <w:sz w:val="18"/>
          <w:szCs w:val="18"/>
          <w:u w:val="single" w:color="auto"/>
          <w:color w:val="0000FF"/>
        </w:rPr>
        <w:t>Consolidated Statements of Redeemable Convertible Preferred Stock and Stockholders’ Equity (Deficit)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6626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268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4216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ind w:right="4100"/>
        <w:spacing w:after="0" w:line="260"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December 31, 2025 and 2024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41249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1998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F-6</w:t>
      </w:r>
    </w:p>
    <w:p>
      <w:pPr>
        <w:spacing w:after="0" w:line="652" w:lineRule="exact"/>
        <w:rPr>
          <w:sz w:val="20"/>
          <w:szCs w:val="20"/>
          <w:color w:val="auto"/>
        </w:rPr>
      </w:pPr>
    </w:p>
    <w:p>
      <w:pPr>
        <w:sectPr>
          <w:pgSz w:w="11900" w:h="16838" w:orient="portrait"/>
          <w:cols w:equalWidth="0" w:num="2">
            <w:col w:w="10600" w:space="380"/>
            <w:col w:w="260"/>
          </w:cols>
          <w:pgMar w:left="320" w:top="1089" w:right="339" w:bottom="1440" w:gutter="0" w:footer="0" w:header="0"/>
        </w:sectPr>
      </w:pPr>
    </w:p>
    <w:p>
      <w:pPr>
        <w:spacing w:after="0" w:line="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part of this Annual Report on 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5"/>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27"/>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60" w:type="dxa"/>
            <w:vAlign w:val="bottom"/>
            <w:gridSpan w:val="3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Restated Certificate of Incorporation.</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3.1</w:t>
            </w:r>
          </w:p>
        </w:tc>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11/07/2024</w:t>
            </w:r>
          </w:p>
        </w:tc>
        <w:tc>
          <w:tcPr>
            <w:tcW w:w="1080" w:type="dxa"/>
            <w:vAlign w:val="bottom"/>
          </w:tcPr>
          <w:p>
            <w:pPr>
              <w:spacing w:after="0"/>
              <w:rPr>
                <w:sz w:val="24"/>
                <w:szCs w:val="24"/>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8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Restated Bylaws.</w:t>
              </w:r>
            </w:hyperlink>
          </w:p>
        </w:tc>
        <w:tc>
          <w:tcPr>
            <w:tcW w:w="1580" w:type="dxa"/>
            <w:vAlign w:val="bottom"/>
            <w:gridSpan w:val="1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11/07/2024</w:t>
            </w: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Form of Common Stock Certificate.</w:t>
              </w:r>
            </w:hyperlink>
          </w:p>
        </w:tc>
        <w:tc>
          <w:tcPr>
            <w:tcW w:w="1660" w:type="dxa"/>
            <w:vAlign w:val="bottom"/>
            <w:gridSpan w:val="1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09/03/2024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8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Amended and Restated Investors’ Rights Agreement,</w:t>
              </w:r>
            </w:hyperlink>
          </w:p>
        </w:tc>
        <w:tc>
          <w:tcPr>
            <w:tcW w:w="380" w:type="dxa"/>
            <w:vAlign w:val="bottom"/>
            <w:gridSpan w:val="7"/>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09/03/2024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1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dated February 1, 2024, by and among the Registrant and</w:t>
              </w:r>
            </w:hyperlink>
          </w:p>
        </w:tc>
        <w:tc>
          <w:tcPr>
            <w:tcW w:w="8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9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certain of its stockholders.</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4"/>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260" w:type="dxa"/>
            <w:vAlign w:val="bottom"/>
            <w:gridSpan w:val="35"/>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Description of Capital Stock</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03/20/2025</w:t>
            </w: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of Indemnity Agreement.</w:t>
              </w:r>
            </w:hyperlink>
          </w:p>
        </w:tc>
        <w:tc>
          <w:tcPr>
            <w:tcW w:w="20" w:type="dxa"/>
            <w:vAlign w:val="bottom"/>
            <w:tcBorders>
              <w:bottom w:val="single" w:sz="8" w:color="0000EE"/>
            </w:tcBorders>
          </w:tcPr>
          <w:p>
            <w:pPr>
              <w:spacing w:after="0"/>
              <w:rPr>
                <w:sz w:val="17"/>
                <w:szCs w:val="17"/>
                <w:color w:val="auto"/>
              </w:rPr>
            </w:pPr>
          </w:p>
        </w:tc>
        <w:tc>
          <w:tcPr>
            <w:tcW w:w="1980" w:type="dxa"/>
            <w:vAlign w:val="bottom"/>
            <w:gridSpan w:val="21"/>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09/18/2024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4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2024 Equity Incentive Plan and forms of award</w:t>
              </w:r>
            </w:hyperlink>
          </w:p>
        </w:tc>
        <w:tc>
          <w:tcPr>
            <w:tcW w:w="800" w:type="dxa"/>
            <w:vAlign w:val="bottom"/>
            <w:gridSpan w:val="11"/>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03/20/2025</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agreements.</w:t>
              </w:r>
            </w:hyperlink>
          </w:p>
        </w:tc>
        <w:tc>
          <w:tcPr>
            <w:tcW w:w="3400" w:type="dxa"/>
            <w:vAlign w:val="bottom"/>
            <w:gridSpan w:val="33"/>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1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2024 Employee Stock Purchase Plan and forms of award</w:t>
              </w:r>
            </w:hyperlink>
          </w:p>
        </w:tc>
        <w:tc>
          <w:tcPr>
            <w:tcW w:w="120" w:type="dxa"/>
            <w:vAlign w:val="bottom"/>
            <w:gridSpan w:val="3"/>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09/18/2024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33">
              <w:r>
                <w:rPr>
                  <w:rFonts w:ascii="Times New Roman" w:cs="Times New Roman" w:eastAsia="Times New Roman" w:hAnsi="Times New Roman"/>
                  <w:sz w:val="18"/>
                  <w:szCs w:val="18"/>
                  <w:color w:val="0000FF"/>
                  <w:w w:val="97"/>
                </w:rPr>
                <w:t>agreements.</w:t>
              </w:r>
            </w:hyperlink>
          </w:p>
        </w:tc>
        <w:tc>
          <w:tcPr>
            <w:tcW w:w="3400" w:type="dxa"/>
            <w:vAlign w:val="bottom"/>
            <w:gridSpan w:val="33"/>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260" w:type="dxa"/>
            <w:vAlign w:val="bottom"/>
            <w:gridSpan w:val="3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Change in Control and Severance Plan.</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09/18/2024</w:t>
            </w: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0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Offer Letter by and between the Registrant and Kristen</w:t>
              </w:r>
            </w:hyperlink>
          </w:p>
        </w:tc>
        <w:tc>
          <w:tcPr>
            <w:tcW w:w="240" w:type="dxa"/>
            <w:vAlign w:val="bottom"/>
            <w:gridSpan w:val="4"/>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09/18/2024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Fortney, dated September 17, 2024.</w:t>
              </w:r>
            </w:hyperlink>
          </w:p>
        </w:tc>
        <w:tc>
          <w:tcPr>
            <w:tcW w:w="164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7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Offer Letter by and between the Registrant and Eric</w:t>
              </w:r>
            </w:hyperlink>
          </w:p>
        </w:tc>
        <w:tc>
          <w:tcPr>
            <w:tcW w:w="480" w:type="dxa"/>
            <w:vAlign w:val="bottom"/>
            <w:gridSpan w:val="9"/>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09/18/2024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Morgen, dated September 17, 2024.</w:t>
              </w:r>
            </w:hyperlink>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Offer Letter by and between the Registrant and Paul</w:t>
              </w:r>
            </w:hyperlink>
          </w:p>
        </w:tc>
        <w:tc>
          <w:tcPr>
            <w:tcW w:w="460" w:type="dxa"/>
            <w:vAlign w:val="bottom"/>
            <w:gridSpan w:val="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333-281901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09/18/2024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Rubin, dated September 17, 2024.</w:t>
              </w:r>
            </w:hyperlink>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2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Office and Laboratory Lease by and between the Company</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11/07/2024</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and ES East, LLC, dated August 23, 2024.</w:t>
              </w:r>
            </w:hyperlink>
          </w:p>
        </w:tc>
        <w:tc>
          <w:tcPr>
            <w:tcW w:w="1200" w:type="dxa"/>
            <w:vAlign w:val="bottom"/>
            <w:gridSpan w:val="12"/>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0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Loan and Security Agreement, dated May 20, 2022, by</w:t>
              </w:r>
            </w:hyperlink>
          </w:p>
        </w:tc>
        <w:tc>
          <w:tcPr>
            <w:tcW w:w="260" w:type="dxa"/>
            <w:vAlign w:val="bottom"/>
            <w:gridSpan w:val="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03/20/2025</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and among the Registrant, Silicon Valley Bank and the</w:t>
              </w:r>
            </w:hyperlink>
          </w:p>
        </w:tc>
        <w:tc>
          <w:tcPr>
            <w:tcW w:w="26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3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lenders thereunder.</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30"/>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1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Sales Agreement, dated October 2, 2025, by and between</w:t>
              </w:r>
            </w:hyperlink>
          </w:p>
        </w:tc>
        <w:tc>
          <w:tcPr>
            <w:tcW w:w="80" w:type="dxa"/>
            <w:vAlign w:val="bottom"/>
            <w:gridSpan w:val="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333-290688</w:t>
            </w:r>
          </w:p>
        </w:tc>
        <w:tc>
          <w:tcPr>
            <w:tcW w:w="11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10/02/2025</w:t>
            </w: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9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the Company and Leerink Partners LLC.</w:t>
              </w:r>
            </w:hyperlink>
          </w:p>
        </w:tc>
        <w:tc>
          <w:tcPr>
            <w:tcW w:w="132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6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241">
              <w:r>
                <w:rPr>
                  <w:rFonts w:ascii="Times New Roman" w:cs="Times New Roman" w:eastAsia="Times New Roman" w:hAnsi="Times New Roman"/>
                  <w:sz w:val="18"/>
                  <w:szCs w:val="18"/>
                  <w:color w:val="0000FF"/>
                  <w:w w:val="98"/>
                </w:rPr>
                <w:t>Insider Trading Policy.</w:t>
              </w:r>
            </w:hyperlink>
          </w:p>
        </w:tc>
        <w:tc>
          <w:tcPr>
            <w:tcW w:w="2600" w:type="dxa"/>
            <w:vAlign w:val="bottom"/>
            <w:gridSpan w:val="27"/>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03/20/2025</w:t>
            </w: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List of Subsidiaries.</w:t>
              </w:r>
            </w:hyperlink>
          </w:p>
        </w:tc>
        <w:tc>
          <w:tcPr>
            <w:tcW w:w="20" w:type="dxa"/>
            <w:vAlign w:val="bottom"/>
            <w:tcBorders>
              <w:bottom w:val="single" w:sz="8" w:color="0000EE"/>
            </w:tcBorders>
          </w:tcPr>
          <w:p>
            <w:pPr>
              <w:spacing w:after="0"/>
              <w:rPr>
                <w:sz w:val="17"/>
                <w:szCs w:val="17"/>
                <w:color w:val="auto"/>
              </w:rPr>
            </w:pPr>
          </w:p>
        </w:tc>
        <w:tc>
          <w:tcPr>
            <w:tcW w:w="2800" w:type="dxa"/>
            <w:vAlign w:val="bottom"/>
            <w:gridSpan w:val="28"/>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001-42279</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03/20/2025</w:t>
            </w: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98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28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20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 of Annual</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Report).</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2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24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54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26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tcBorders>
              <w:right w:val="single" w:sz="8" w:color="0000EE"/>
            </w:tcBorders>
            <w:gridSpan w:val="5"/>
            <w:shd w:val="clear" w:color="auto" w:fill="0000FF"/>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28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54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26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tcBorders>
              <w:right w:val="single" w:sz="8" w:color="0000EE"/>
            </w:tcBorders>
            <w:gridSpan w:val="5"/>
            <w:shd w:val="clear" w:color="auto" w:fill="0000FF"/>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418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8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80" w:type="dxa"/>
            <w:vAlign w:val="bottom"/>
            <w:gridSpan w:val="19"/>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20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40" w:type="dxa"/>
            <w:vAlign w:val="bottom"/>
          </w:tcPr>
          <w:p>
            <w:pPr>
              <w:spacing w:after="0"/>
              <w:rPr>
                <w:sz w:val="17"/>
                <w:szCs w:val="17"/>
                <w:color w:val="auto"/>
              </w:rPr>
            </w:pPr>
          </w:p>
        </w:tc>
        <w:tc>
          <w:tcPr>
            <w:tcW w:w="4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52"/>
        </w:trPr>
        <w:tc>
          <w:tcPr>
            <w:tcW w:w="10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128</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 of 2002.</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97.1</w:t>
            </w:r>
          </w:p>
        </w:tc>
        <w:tc>
          <w:tcPr>
            <w:tcW w:w="2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8"/>
              </w:rPr>
            </w:pPr>
            <w:hyperlink r:id="rId245">
              <w:r>
                <w:rPr>
                  <w:rFonts w:ascii="Times New Roman" w:cs="Times New Roman" w:eastAsia="Times New Roman" w:hAnsi="Times New Roman"/>
                  <w:sz w:val="18"/>
                  <w:szCs w:val="18"/>
                  <w:color w:val="0000FF"/>
                  <w:w w:val="98"/>
                </w:rPr>
                <w:t>Compensation Recovery Policy.</w:t>
              </w:r>
            </w:hyperlink>
          </w:p>
        </w:tc>
        <w:tc>
          <w:tcPr>
            <w:tcW w:w="20" w:type="dxa"/>
            <w:vAlign w:val="bottom"/>
            <w:tcBorders>
              <w:bottom w:val="single" w:sz="8" w:color="0000EE"/>
            </w:tcBorders>
          </w:tcPr>
          <w:p>
            <w:pPr>
              <w:spacing w:after="0"/>
              <w:rPr>
                <w:sz w:val="16"/>
                <w:szCs w:val="16"/>
                <w:color w:val="auto"/>
              </w:rPr>
            </w:pPr>
          </w:p>
        </w:tc>
        <w:tc>
          <w:tcPr>
            <w:tcW w:w="2080" w:type="dxa"/>
            <w:vAlign w:val="bottom"/>
          </w:tcPr>
          <w:p>
            <w:pPr>
              <w:spacing w:after="0"/>
              <w:rPr>
                <w:sz w:val="16"/>
                <w:szCs w:val="16"/>
                <w:color w:val="auto"/>
              </w:rPr>
            </w:pPr>
          </w:p>
        </w:tc>
        <w:tc>
          <w:tcPr>
            <w:tcW w:w="8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color w:val="auto"/>
              </w:rPr>
              <w:t>001-42279</w:t>
            </w:r>
          </w:p>
        </w:tc>
        <w:tc>
          <w:tcPr>
            <w:tcW w:w="104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color w:val="auto"/>
              </w:rPr>
              <w:t>97.1</w:t>
            </w:r>
          </w:p>
        </w:tc>
        <w:tc>
          <w:tcPr>
            <w:tcW w:w="2120" w:type="dxa"/>
            <w:vAlign w:val="bottom"/>
          </w:tcPr>
          <w:p>
            <w:pPr>
              <w:jc w:val="right"/>
              <w:ind w:right="830"/>
              <w:spacing w:after="0" w:line="194" w:lineRule="exact"/>
              <w:rPr>
                <w:sz w:val="20"/>
                <w:szCs w:val="20"/>
                <w:color w:val="auto"/>
              </w:rPr>
            </w:pPr>
            <w:r>
              <w:rPr>
                <w:rFonts w:ascii="Times New Roman" w:cs="Times New Roman" w:eastAsia="Times New Roman" w:hAnsi="Times New Roman"/>
                <w:sz w:val="18"/>
                <w:szCs w:val="18"/>
                <w:color w:val="auto"/>
              </w:rPr>
              <w:t>03/20/2025</w:t>
            </w: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4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4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4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contract or arrangement.</w:t>
      </w:r>
    </w:p>
    <w:p>
      <w:pPr>
        <w:spacing w:after="0" w:line="50" w:lineRule="exact"/>
        <w:rPr>
          <w:sz w:val="20"/>
          <w:szCs w:val="20"/>
          <w:color w:val="auto"/>
        </w:rPr>
      </w:pPr>
    </w:p>
    <w:p>
      <w:pPr>
        <w:ind w:firstLine="8"/>
        <w:spacing w:after="0" w:line="282" w:lineRule="auto"/>
        <w:tabs>
          <w:tab w:leader="none" w:pos="1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BioAge Labs, Inc</w:t>
            </w:r>
          </w:p>
        </w:tc>
        <w:tc>
          <w:tcPr>
            <w:tcW w:w="46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3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Kristen Fortney</w:t>
            </w:r>
          </w:p>
        </w:tc>
      </w:tr>
      <w:tr>
        <w:trPr>
          <w:trHeight w:val="191"/>
        </w:trPr>
        <w:tc>
          <w:tcPr>
            <w:tcW w:w="3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tcPr>
          <w:p>
            <w:pPr>
              <w:jc w:val="center"/>
              <w:ind w:right="870"/>
              <w:spacing w:after="0" w:line="191" w:lineRule="exact"/>
              <w:rPr>
                <w:sz w:val="20"/>
                <w:szCs w:val="20"/>
                <w:color w:val="auto"/>
              </w:rPr>
            </w:pPr>
            <w:r>
              <w:rPr>
                <w:rFonts w:ascii="Times New Roman" w:cs="Times New Roman" w:eastAsia="Times New Roman" w:hAnsi="Times New Roman"/>
                <w:sz w:val="18"/>
                <w:szCs w:val="18"/>
                <w:color w:val="auto"/>
                <w:w w:val="99"/>
              </w:rPr>
              <w:t>Kristen Fortney, Ph.D.</w:t>
            </w:r>
          </w:p>
        </w:tc>
      </w:tr>
      <w:tr>
        <w:trPr>
          <w:trHeight w:val="216"/>
        </w:trPr>
        <w:tc>
          <w:tcPr>
            <w:tcW w:w="3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4"/>
        </w:trPr>
        <w:tc>
          <w:tcPr>
            <w:tcW w:w="3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00" w:type="dxa"/>
            <w:vAlign w:val="bottom"/>
          </w:tcPr>
          <w:p>
            <w:pPr>
              <w:spacing w:after="0"/>
              <w:rPr>
                <w:sz w:val="24"/>
                <w:szCs w:val="24"/>
                <w:color w:val="auto"/>
              </w:rPr>
            </w:pPr>
          </w:p>
        </w:tc>
        <w:tc>
          <w:tcPr>
            <w:tcW w:w="3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Dov Goldstein</w:t>
            </w:r>
          </w:p>
        </w:tc>
      </w:tr>
      <w:tr>
        <w:trPr>
          <w:trHeight w:val="191"/>
        </w:trPr>
        <w:tc>
          <w:tcPr>
            <w:tcW w:w="3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620" w:type="dxa"/>
            <w:vAlign w:val="bottom"/>
            <w:tcBorders>
              <w:top w:val="single" w:sz="8" w:color="auto"/>
            </w:tcBorders>
          </w:tcPr>
          <w:p>
            <w:pPr>
              <w:jc w:val="center"/>
              <w:ind w:right="850"/>
              <w:spacing w:after="0" w:line="191" w:lineRule="exact"/>
              <w:rPr>
                <w:sz w:val="20"/>
                <w:szCs w:val="20"/>
                <w:color w:val="auto"/>
              </w:rPr>
            </w:pPr>
            <w:r>
              <w:rPr>
                <w:rFonts w:ascii="Times New Roman" w:cs="Times New Roman" w:eastAsia="Times New Roman" w:hAnsi="Times New Roman"/>
                <w:sz w:val="18"/>
                <w:szCs w:val="18"/>
                <w:color w:val="auto"/>
                <w:w w:val="99"/>
              </w:rPr>
              <w:t>Dov Goldstein, M.D.</w:t>
            </w:r>
          </w:p>
        </w:tc>
      </w:tr>
      <w:tr>
        <w:trPr>
          <w:trHeight w:val="216"/>
        </w:trPr>
        <w:tc>
          <w:tcPr>
            <w:tcW w:w="3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400" w:type="dxa"/>
            <w:vAlign w:val="bottom"/>
          </w:tcPr>
          <w:p>
            <w:pPr>
              <w:spacing w:after="0"/>
              <w:rPr>
                <w:sz w:val="24"/>
                <w:szCs w:val="24"/>
                <w:color w:val="auto"/>
              </w:rPr>
            </w:pPr>
          </w:p>
        </w:tc>
        <w:tc>
          <w:tcPr>
            <w:tcW w:w="3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130</w:t>
            </w:r>
          </w:p>
        </w:tc>
        <w:tc>
          <w:tcPr>
            <w:tcW w:w="462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3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Kristen Fortney and Dov Goldstein,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488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2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Kristen Fortney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Kristen Fortney, Ph.D.</w:t>
      </w:r>
    </w:p>
    <w:p>
      <w:pPr>
        <w:spacing w:after="0" w:line="1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Shane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Shane Barton, C.P.A</w:t>
      </w:r>
    </w:p>
    <w:p>
      <w:pPr>
        <w:spacing w:after="0" w:line="1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 Eric 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Eric Morgen, M.D.</w:t>
      </w:r>
    </w:p>
    <w:p>
      <w:pPr>
        <w:spacing w:after="0" w:line="1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Jean-Pierre Garnier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Jean-Pierre Garnier, Ph.D.</w:t>
      </w:r>
    </w:p>
    <w:p>
      <w:pPr>
        <w:spacing w:after="0" w:line="1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 Michael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Michael Davidson, M.D.</w:t>
      </w:r>
    </w:p>
    <w:p>
      <w:pPr>
        <w:spacing w:after="0" w:line="1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Patrick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Patrick Enright, M.B.A.</w:t>
      </w:r>
    </w:p>
    <w:p>
      <w:pPr>
        <w:spacing w:after="0" w:line="1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 James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James Healy, M.D., Ph.D.</w:t>
      </w:r>
    </w:p>
    <w:p>
      <w:pPr>
        <w:spacing w:after="0" w:line="1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Rekha Hemrajani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Rekha Hemrajani, M.B.A.</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Vijay Pande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488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Vijay Pande, Ph.D.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2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3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3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of Finance and Accounting</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51"/>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56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 of the Board and 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56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56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56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56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594"/>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24, 2026</w:t>
            </w:r>
          </w:p>
        </w:tc>
      </w:tr>
    </w:tbl>
    <w:p>
      <w:pPr>
        <w:spacing w:after="0" w:line="388"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4" w:name="page135"/>
    <w:bookmarkEnd w:id="13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BioAge Labs,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BioAge Labs, Inc. and subsidiary (the Company) as of December 31, 2025 and 2024, the related consolidated statements of operations and comprehensive loss, redeemable convertible preferred stock and stockholders’ equity (deficit), and cash flows for each of the years in the two-year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U.S. generally accepted accounting principles.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188,888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354,349</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2,754</w:t>
            </w:r>
          </w:p>
        </w:tc>
      </w:tr>
      <w:tr>
        <w:trPr>
          <w:trHeight w:val="210"/>
        </w:trPr>
        <w:tc>
          <w:tcPr>
            <w:tcW w:w="76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286,793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357,103</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r>
      <w:tr>
        <w:trPr>
          <w:trHeight w:val="24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294,889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358,234</w:t>
            </w:r>
          </w:p>
        </w:tc>
      </w:tr>
      <w:tr>
        <w:trPr>
          <w:trHeight w:val="197"/>
        </w:trPr>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1,996</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11,751</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7,826</w:t>
            </w:r>
          </w:p>
        </w:tc>
      </w:tr>
      <w:tr>
        <w:trPr>
          <w:trHeight w:val="210"/>
        </w:trPr>
        <w:tc>
          <w:tcPr>
            <w:tcW w:w="76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20,138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27,775</w:t>
            </w: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4,674</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22,838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35,107</w:t>
            </w: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shd w:val="clear" w:color="auto" w:fill="CFF0FC"/>
          </w:tcPr>
          <w:p>
            <w:pPr>
              <w:ind w:left="4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10,000,000 shares authorized as of December 31, 2025 and</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 no shares issued and outstanding as of December 31, 2025 and December 31, 2024</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500,000,000 shares authorized as of December 31, 2025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37,386,908 and 35,850,037 shares issued and outstanding as of December 31, 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605,189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575,693</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(252,811)</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272,051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323,127</w:t>
            </w: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294,889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358,234</w:t>
            </w: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-4388485</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-3548380</wp:posOffset>
            </wp:positionV>
            <wp:extent cx="1111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-3531235</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-2416810</wp:posOffset>
            </wp:positionV>
            <wp:extent cx="111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-1859280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8,995</w:t>
            </w:r>
          </w:p>
        </w:tc>
        <w:tc>
          <w:tcPr>
            <w:tcW w:w="18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73,966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59,036</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27,809</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19,158</w:t>
            </w:r>
          </w:p>
        </w:tc>
        <w:tc>
          <w:tcPr>
            <w:tcW w:w="0" w:type="dxa"/>
            <w:vAlign w:val="bottom"/>
          </w:tcPr>
          <w:p>
            <w:pPr>
              <w:spacing w:after="0"/>
              <w:rPr>
                <w:sz w:val="1"/>
                <w:szCs w:val="1"/>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101,775</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(92,780)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13,086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Gain (loss) from changes in fair value of warrants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12,175</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(80,605)</w:t>
            </w:r>
          </w:p>
        </w:tc>
        <w:tc>
          <w:tcPr>
            <w:tcW w:w="66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660" w:type="dxa"/>
            <w:vAlign w:val="bottom"/>
            <w:gridSpan w:val="2"/>
            <w:shd w:val="clear" w:color="auto" w:fill="CFF0FC"/>
          </w:tcPr>
          <w:p>
            <w:pPr>
              <w:jc w:val="right"/>
              <w:ind w:right="3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dilutive</w:t>
            </w:r>
          </w:p>
        </w:tc>
        <w:tc>
          <w:tcPr>
            <w:tcW w:w="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35,932,914</w:t>
            </w:r>
          </w:p>
        </w:tc>
        <w:tc>
          <w:tcPr>
            <w:tcW w:w="1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10,726,521</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holding gains on available-for-sale investments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(80,572)</w:t>
            </w:r>
          </w:p>
        </w:tc>
        <w:tc>
          <w:tcPr>
            <w:tcW w:w="66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-2468245</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-1344930</wp:posOffset>
            </wp:positionV>
            <wp:extent cx="111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-1036320</wp:posOffset>
            </wp:positionV>
            <wp:extent cx="1111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-1019810</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4"/>
          </w:tcPr>
          <w:p>
            <w:pPr>
              <w:jc w:val="right"/>
              <w:ind w:right="386"/>
              <w:spacing w:after="0" w:line="122" w:lineRule="exact"/>
              <w:rPr>
                <w:sz w:val="20"/>
                <w:szCs w:val="20"/>
                <w:color w:val="auto"/>
              </w:rPr>
            </w:pPr>
            <w:r>
              <w:rPr>
                <w:rFonts w:ascii="Times New Roman" w:cs="Times New Roman" w:eastAsia="Times New Roman" w:hAnsi="Times New Roman"/>
                <w:sz w:val="11"/>
                <w:szCs w:val="11"/>
                <w:b w:val="1"/>
                <w:bCs w:val="1"/>
                <w:color w:val="auto"/>
              </w:rPr>
              <w:t>Redeemable Convertible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Borders>
              <w:bottom w:val="single" w:sz="8" w:color="auto"/>
            </w:tcBorders>
            <w:gridSpan w:val="4"/>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bottom w:val="single" w:sz="8" w:color="auto"/>
            </w:tcBorders>
            <w:gridSpan w:val="3"/>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20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0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226"/>
              <w:spacing w:after="0" w:line="115" w:lineRule="exact"/>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115"/>
        </w:trPr>
        <w:tc>
          <w:tcPr>
            <w:tcW w:w="2420" w:type="dxa"/>
            <w:vAlign w:val="bottom"/>
            <w:gridSpan w:val="2"/>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9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31,465,128</w:t>
            </w:r>
          </w:p>
        </w:tc>
        <w:tc>
          <w:tcPr>
            <w:tcW w:w="2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132,722</w:t>
            </w:r>
          </w:p>
        </w:tc>
        <w:tc>
          <w:tcPr>
            <w:tcW w:w="120" w:type="dxa"/>
            <w:vAlign w:val="bottom"/>
            <w:tcBorders>
              <w:right w:val="single" w:sz="8" w:color="auto"/>
            </w:tcBorders>
            <w:shd w:val="clear" w:color="auto" w:fill="CFF0FC"/>
          </w:tcPr>
          <w:p>
            <w:pPr>
              <w:spacing w:after="0"/>
              <w:rPr>
                <w:sz w:val="10"/>
                <w:szCs w:val="10"/>
                <w:color w:val="auto"/>
              </w:rPr>
            </w:pPr>
          </w:p>
        </w:tc>
        <w:tc>
          <w:tcPr>
            <w:tcW w:w="1080" w:type="dxa"/>
            <w:vAlign w:val="bottom"/>
            <w:gridSpan w:val="2"/>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1,673,314</w:t>
            </w:r>
          </w:p>
        </w:tc>
        <w:tc>
          <w:tcPr>
            <w:tcW w:w="720" w:type="dxa"/>
            <w:vAlign w:val="bottom"/>
            <w:gridSpan w:val="2"/>
            <w:shd w:val="clear" w:color="auto" w:fill="CFF0FC"/>
          </w:tcPr>
          <w:p>
            <w:pPr>
              <w:jc w:val="right"/>
              <w:ind w:right="4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8,142</w:t>
            </w:r>
          </w:p>
        </w:tc>
        <w:tc>
          <w:tcPr>
            <w:tcW w:w="28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164</w:t>
            </w:r>
          </w:p>
        </w:tc>
        <w:tc>
          <w:tcPr>
            <w:tcW w:w="28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(181,702)</w:t>
            </w:r>
          </w:p>
        </w:tc>
        <w:tc>
          <w:tcPr>
            <w:tcW w:w="26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(173,396)</w:t>
            </w:r>
          </w:p>
        </w:tc>
        <w:tc>
          <w:tcPr>
            <w:tcW w:w="0" w:type="dxa"/>
            <w:vAlign w:val="bottom"/>
          </w:tcPr>
          <w:p>
            <w:pPr>
              <w:spacing w:after="0"/>
              <w:rPr>
                <w:sz w:val="1"/>
                <w:szCs w:val="1"/>
                <w:color w:val="auto"/>
              </w:rPr>
            </w:pPr>
          </w:p>
        </w:tc>
      </w:tr>
      <w:tr>
        <w:trPr>
          <w:trHeight w:val="108"/>
        </w:trPr>
        <w:tc>
          <w:tcPr>
            <w:tcW w:w="24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shares through initial public</w:t>
            </w: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offering, net of underwriting discounts,</w:t>
            </w:r>
          </w:p>
        </w:tc>
        <w:tc>
          <w:tcPr>
            <w:tcW w:w="9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and issuance costs</w:t>
            </w: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12,650,000</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207,249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207,249</w:t>
            </w:r>
          </w:p>
        </w:tc>
        <w:tc>
          <w:tcPr>
            <w:tcW w:w="0" w:type="dxa"/>
            <w:vAlign w:val="bottom"/>
          </w:tcPr>
          <w:p>
            <w:pPr>
              <w:spacing w:after="0"/>
              <w:rPr>
                <w:sz w:val="1"/>
                <w:szCs w:val="1"/>
                <w:color w:val="auto"/>
              </w:rPr>
            </w:pPr>
          </w:p>
        </w:tc>
      </w:tr>
      <w:tr>
        <w:trPr>
          <w:trHeight w:val="108"/>
        </w:trPr>
        <w:tc>
          <w:tcPr>
            <w:tcW w:w="24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shares through concurrent</w:t>
            </w:r>
          </w:p>
        </w:tc>
        <w:tc>
          <w:tcPr>
            <w:tcW w:w="9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private placement, net of placement agent fee</w:t>
            </w:r>
          </w:p>
        </w:tc>
        <w:tc>
          <w:tcPr>
            <w:tcW w:w="94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588,888</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9,858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9,858</w:t>
            </w:r>
          </w:p>
        </w:tc>
        <w:tc>
          <w:tcPr>
            <w:tcW w:w="0" w:type="dxa"/>
            <w:vAlign w:val="bottom"/>
          </w:tcPr>
          <w:p>
            <w:pPr>
              <w:spacing w:after="0"/>
              <w:rPr>
                <w:sz w:val="1"/>
                <w:szCs w:val="1"/>
                <w:color w:val="auto"/>
              </w:rPr>
            </w:pPr>
          </w:p>
        </w:tc>
      </w:tr>
      <w:tr>
        <w:trPr>
          <w:trHeight w:val="108"/>
        </w:trPr>
        <w:tc>
          <w:tcPr>
            <w:tcW w:w="24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D redeemable convertible</w:t>
            </w: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 stock</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49,713,402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169,458</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Conversion of convertible promissory notes into</w:t>
            </w:r>
          </w:p>
        </w:tc>
        <w:tc>
          <w:tcPr>
            <w:tcW w:w="9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Series D-1 redeemable convertible preferred stock</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11,887,535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40,651</w:t>
            </w: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4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Conversion of convertible preferred stock into</w:t>
            </w: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(93,066,065)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(342,831)</w:t>
            </w:r>
          </w:p>
        </w:tc>
        <w:tc>
          <w:tcPr>
            <w:tcW w:w="120" w:type="dxa"/>
            <w:vAlign w:val="bottom"/>
            <w:tcBorders>
              <w:right w:val="single" w:sz="8" w:color="auto"/>
            </w:tcBorders>
          </w:tcPr>
          <w:p>
            <w:pPr>
              <w:spacing w:after="0"/>
              <w:rPr>
                <w:sz w:val="11"/>
                <w:szCs w:val="11"/>
                <w:color w:val="auto"/>
              </w:rPr>
            </w:pPr>
          </w:p>
        </w:tc>
        <w:tc>
          <w:tcPr>
            <w:tcW w:w="10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20,854,632</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342,831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342,831</w:t>
            </w:r>
          </w:p>
        </w:tc>
        <w:tc>
          <w:tcPr>
            <w:tcW w:w="0" w:type="dxa"/>
            <w:vAlign w:val="bottom"/>
          </w:tcPr>
          <w:p>
            <w:pPr>
              <w:spacing w:after="0"/>
              <w:rPr>
                <w:sz w:val="1"/>
                <w:szCs w:val="1"/>
                <w:color w:val="auto"/>
              </w:rPr>
            </w:pPr>
          </w:p>
        </w:tc>
      </w:tr>
      <w:tr>
        <w:trPr>
          <w:trHeight w:val="122"/>
        </w:trPr>
        <w:tc>
          <w:tcPr>
            <w:tcW w:w="24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80" w:type="dxa"/>
            <w:vAlign w:val="bottom"/>
            <w:gridSpan w:val="2"/>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83,203</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634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634</w:t>
            </w: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9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6,979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6,979</w:t>
            </w:r>
          </w:p>
        </w:tc>
        <w:tc>
          <w:tcPr>
            <w:tcW w:w="0" w:type="dxa"/>
            <w:vAlign w:val="bottom"/>
          </w:tcPr>
          <w:p>
            <w:pPr>
              <w:spacing w:after="0"/>
              <w:rPr>
                <w:sz w:val="1"/>
                <w:szCs w:val="1"/>
                <w:color w:val="auto"/>
              </w:rPr>
            </w:pPr>
          </w:p>
        </w:tc>
      </w:tr>
      <w:tr>
        <w:trPr>
          <w:trHeight w:val="121"/>
        </w:trPr>
        <w:tc>
          <w:tcPr>
            <w:tcW w:w="24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94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(71,109)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(71,109)</w:t>
            </w:r>
          </w:p>
        </w:tc>
        <w:tc>
          <w:tcPr>
            <w:tcW w:w="0" w:type="dxa"/>
            <w:vAlign w:val="bottom"/>
          </w:tcPr>
          <w:p>
            <w:pPr>
              <w:spacing w:after="0"/>
              <w:rPr>
                <w:sz w:val="1"/>
                <w:szCs w:val="1"/>
                <w:color w:val="auto"/>
              </w:rPr>
            </w:pPr>
          </w:p>
        </w:tc>
      </w:tr>
      <w:tr>
        <w:trPr>
          <w:trHeight w:val="115"/>
        </w:trPr>
        <w:tc>
          <w:tcPr>
            <w:tcW w:w="24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9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gridSpan w:val="3"/>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35,850,037</w:t>
            </w:r>
          </w:p>
        </w:tc>
        <w:tc>
          <w:tcPr>
            <w:tcW w:w="720" w:type="dxa"/>
            <w:vAlign w:val="bottom"/>
            <w:gridSpan w:val="2"/>
            <w:shd w:val="clear" w:color="auto" w:fill="CFF0FC"/>
          </w:tcPr>
          <w:p>
            <w:pPr>
              <w:jc w:val="right"/>
              <w:ind w:right="4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575,693</w:t>
            </w:r>
          </w:p>
        </w:tc>
        <w:tc>
          <w:tcPr>
            <w:tcW w:w="28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245</w:t>
            </w:r>
          </w:p>
        </w:tc>
        <w:tc>
          <w:tcPr>
            <w:tcW w:w="28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(252,811)</w:t>
            </w:r>
          </w:p>
        </w:tc>
        <w:tc>
          <w:tcPr>
            <w:tcW w:w="26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323,127</w:t>
            </w:r>
          </w:p>
        </w:tc>
        <w:tc>
          <w:tcPr>
            <w:tcW w:w="0" w:type="dxa"/>
            <w:vAlign w:val="bottom"/>
          </w:tcPr>
          <w:p>
            <w:pPr>
              <w:spacing w:after="0"/>
              <w:rPr>
                <w:sz w:val="1"/>
                <w:szCs w:val="1"/>
                <w:color w:val="auto"/>
              </w:rPr>
            </w:pPr>
          </w:p>
        </w:tc>
      </w:tr>
      <w:tr>
        <w:trPr>
          <w:trHeight w:val="101"/>
        </w:trPr>
        <w:tc>
          <w:tcPr>
            <w:tcW w:w="2420" w:type="dxa"/>
            <w:vAlign w:val="bottom"/>
            <w:tcBorders>
              <w:top w:val="single" w:sz="8" w:color="CFF0FC"/>
            </w:tcBorders>
            <w:gridSpan w:val="2"/>
          </w:tcPr>
          <w:p>
            <w:pPr>
              <w:spacing w:after="0" w:line="102" w:lineRule="exact"/>
              <w:rPr>
                <w:sz w:val="20"/>
                <w:szCs w:val="20"/>
                <w:color w:val="auto"/>
              </w:rPr>
            </w:pPr>
            <w:r>
              <w:rPr>
                <w:rFonts w:ascii="Times New Roman" w:cs="Times New Roman" w:eastAsia="Times New Roman" w:hAnsi="Times New Roman"/>
                <w:sz w:val="11"/>
                <w:szCs w:val="11"/>
                <w:color w:val="auto"/>
              </w:rPr>
              <w:t>Issuance of common shares under at-the-market</w:t>
            </w:r>
          </w:p>
        </w:tc>
        <w:tc>
          <w:tcPr>
            <w:tcW w:w="94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CFF0FC"/>
              <w:right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sales agreement, net of placement agent fee and</w:t>
            </w:r>
          </w:p>
        </w:tc>
        <w:tc>
          <w:tcPr>
            <w:tcW w:w="9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offering costs</w:t>
            </w: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1,400,000</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17,091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17,091</w:t>
            </w:r>
          </w:p>
        </w:tc>
        <w:tc>
          <w:tcPr>
            <w:tcW w:w="0" w:type="dxa"/>
            <w:vAlign w:val="bottom"/>
          </w:tcPr>
          <w:p>
            <w:pPr>
              <w:spacing w:after="0"/>
              <w:rPr>
                <w:sz w:val="1"/>
                <w:szCs w:val="1"/>
                <w:color w:val="auto"/>
              </w:rPr>
            </w:pPr>
          </w:p>
        </w:tc>
      </w:tr>
      <w:tr>
        <w:trPr>
          <w:trHeight w:val="121"/>
        </w:trPr>
        <w:tc>
          <w:tcPr>
            <w:tcW w:w="24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80" w:type="dxa"/>
            <w:vAlign w:val="bottom"/>
            <w:gridSpan w:val="2"/>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136,871</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714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714</w:t>
            </w: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9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11,691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11,691</w:t>
            </w:r>
          </w:p>
        </w:tc>
        <w:tc>
          <w:tcPr>
            <w:tcW w:w="0" w:type="dxa"/>
            <w:vAlign w:val="bottom"/>
          </w:tcPr>
          <w:p>
            <w:pPr>
              <w:spacing w:after="0"/>
              <w:rPr>
                <w:sz w:val="1"/>
                <w:szCs w:val="1"/>
                <w:color w:val="auto"/>
              </w:rPr>
            </w:pPr>
          </w:p>
        </w:tc>
      </w:tr>
      <w:tr>
        <w:trPr>
          <w:trHeight w:val="122"/>
        </w:trPr>
        <w:tc>
          <w:tcPr>
            <w:tcW w:w="24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Unrealized gain on marketable securities</w:t>
            </w: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9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0" w:type="dxa"/>
            <w:vAlign w:val="bottom"/>
          </w:tcPr>
          <w:p>
            <w:pPr>
              <w:spacing w:after="0"/>
              <w:rPr>
                <w:sz w:val="1"/>
                <w:szCs w:val="1"/>
                <w:color w:val="auto"/>
              </w:rPr>
            </w:pPr>
          </w:p>
        </w:tc>
      </w:tr>
      <w:tr>
        <w:trPr>
          <w:trHeight w:val="122"/>
        </w:trPr>
        <w:tc>
          <w:tcPr>
            <w:tcW w:w="2420" w:type="dxa"/>
            <w:vAlign w:val="bottom"/>
            <w:tcBorders>
              <w:bottom w:val="single" w:sz="8" w:color="CFF0FC"/>
            </w:tcBorders>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9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(80,605)</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tcBorders>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(80,605)</w:t>
            </w:r>
          </w:p>
        </w:tc>
        <w:tc>
          <w:tcPr>
            <w:tcW w:w="0" w:type="dxa"/>
            <w:vAlign w:val="bottom"/>
          </w:tcPr>
          <w:p>
            <w:pPr>
              <w:spacing w:after="0"/>
              <w:rPr>
                <w:sz w:val="1"/>
                <w:szCs w:val="1"/>
                <w:color w:val="auto"/>
              </w:rPr>
            </w:pPr>
          </w:p>
        </w:tc>
      </w:tr>
      <w:tr>
        <w:trPr>
          <w:trHeight w:val="115"/>
        </w:trPr>
        <w:tc>
          <w:tcPr>
            <w:tcW w:w="24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2025</w:t>
            </w:r>
          </w:p>
        </w:tc>
        <w:tc>
          <w:tcPr>
            <w:tcW w:w="9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gridSpan w:val="3"/>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37,386,908</w:t>
            </w:r>
          </w:p>
        </w:tc>
        <w:tc>
          <w:tcPr>
            <w:tcW w:w="720" w:type="dxa"/>
            <w:vAlign w:val="bottom"/>
            <w:gridSpan w:val="2"/>
          </w:tcPr>
          <w:p>
            <w:pPr>
              <w:jc w:val="right"/>
              <w:ind w:right="4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605,189</w:t>
            </w:r>
          </w:p>
        </w:tc>
        <w:tc>
          <w:tcPr>
            <w:tcW w:w="2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278</w:t>
            </w:r>
          </w:p>
        </w:tc>
        <w:tc>
          <w:tcPr>
            <w:tcW w:w="2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(333,416)</w:t>
            </w:r>
          </w:p>
        </w:tc>
        <w:tc>
          <w:tcPr>
            <w:tcW w:w="26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272,051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-2155190</wp:posOffset>
            </wp:positionV>
            <wp:extent cx="34290" cy="1111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34290" cy="111125"/>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-912495</wp:posOffset>
            </wp:positionV>
            <wp:extent cx="34290" cy="1111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34290" cy="11112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-736600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-736600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-736600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-736600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-736600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-736600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-736600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-110490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-110490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-110490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-110490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-110490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-110490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-200660</wp:posOffset>
            </wp:positionV>
            <wp:extent cx="89535" cy="2139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89535" cy="21399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0" w:type="dxa"/>
            <w:vAlign w:val="bottom"/>
          </w:tcPr>
          <w:p>
            <w:pPr>
              <w:spacing w:after="0"/>
              <w:rPr>
                <w:sz w:val="17"/>
                <w:szCs w:val="17"/>
                <w:color w:val="auto"/>
              </w:rPr>
            </w:pPr>
          </w:p>
        </w:tc>
      </w:tr>
      <w:tr>
        <w:trPr>
          <w:trHeight w:val="212"/>
        </w:trPr>
        <w:tc>
          <w:tcPr>
            <w:tcW w:w="7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2"/>
        </w:trPr>
        <w:tc>
          <w:tcPr>
            <w:tcW w:w="77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(80,605)</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(71,109)</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11,691</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6,979</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1,030</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loss from changes in fair value of warrants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Accretion of net investment discounts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4,628</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grant income</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r>
      <w:tr>
        <w:trPr>
          <w:trHeight w:val="203"/>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12,500</w:t>
            </w: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(81,627)</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(51,522)</w:t>
            </w:r>
          </w:p>
        </w:tc>
      </w:tr>
      <w:tr>
        <w:trPr>
          <w:trHeight w:val="19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(154,747)</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60,250</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(95,216)</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Series D issuance</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170,000</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paid on Series D issuance</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discounts and commissions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211,761</w:t>
            </w: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paid on initial public offering and private placement</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shares through private placement, net of placement agent fees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9,858</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through at-the-market facility, net of commissions</w:t>
            </w:r>
          </w:p>
        </w:tc>
        <w:tc>
          <w:tcPr>
            <w:tcW w:w="9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17,155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costs paid on at-the market offering</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 paid</w:t>
            </w:r>
          </w:p>
        </w:tc>
        <w:tc>
          <w:tcPr>
            <w:tcW w:w="9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 principal payments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shares upon stock option exercises</w:t>
            </w:r>
          </w:p>
        </w:tc>
        <w:tc>
          <w:tcPr>
            <w:tcW w:w="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714</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634</w:t>
            </w:r>
          </w:p>
        </w:tc>
      </w:tr>
      <w:tr>
        <w:trPr>
          <w:trHeight w:val="196"/>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11,469</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381,199</w:t>
            </w: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Effect of changes in exchange rate on cash and cash equivalents</w:t>
            </w:r>
          </w:p>
        </w:tc>
        <w:tc>
          <w:tcPr>
            <w:tcW w:w="9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(165,461)</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329,392</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354,349</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24,957</w:t>
            </w:r>
          </w:p>
        </w:tc>
      </w:tr>
      <w:tr>
        <w:trPr>
          <w:trHeight w:val="23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2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188,888</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354,349</w:t>
            </w:r>
          </w:p>
        </w:tc>
      </w:tr>
      <w:tr>
        <w:trPr>
          <w:trHeight w:val="183"/>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non-cash disclosure:</w:t>
            </w:r>
          </w:p>
        </w:tc>
        <w:tc>
          <w:tcPr>
            <w:tcW w:w="9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2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92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 promissory notes into Series D-1 redeemable convertible preferred stock</w:t>
            </w:r>
          </w:p>
        </w:tc>
        <w:tc>
          <w:tcPr>
            <w:tcW w:w="920" w:type="dxa"/>
            <w:vAlign w:val="bottom"/>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40,651</w:t>
            </w: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of redeemable convertible preferred stock into common stock upon initial public offering</w:t>
            </w:r>
          </w:p>
        </w:tc>
        <w:tc>
          <w:tcPr>
            <w:tcW w:w="92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342,831</w:t>
            </w: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20" w:type="dxa"/>
            <w:vAlign w:val="bottom"/>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Unpaid deferred offering costs included in accounts payable and accrued expenses</w:t>
            </w:r>
          </w:p>
        </w:tc>
        <w:tc>
          <w:tcPr>
            <w:tcW w:w="92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w:t>
            </w:r>
          </w:p>
        </w:tc>
        <w:tc>
          <w:tcPr>
            <w:tcW w:w="920" w:type="dxa"/>
            <w:vAlign w:val="bottom"/>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3,106</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-3968115</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-3171190</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-1610995</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111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-1062355</wp:posOffset>
            </wp:positionV>
            <wp:extent cx="111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-796925</wp:posOffset>
            </wp:positionV>
            <wp:extent cx="111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-779780</wp:posOffset>
            </wp:positionV>
            <wp:extent cx="111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1111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1111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BioAge Labs, Inc. (the “Company”), is a clinical-stage biopharmaceutical company developing therapeutic product candidates for metabolic diseases by targeting the biology of human aging. The Company's technology platform and differentiated human datasets enable us to identify promising targets based on insights into molecular changes that drive aging.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was incorporated in 2015 in the State of Delaware and is headquartered in Emeryville, California.</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September 25, 2024, the Company completed its initial public offering (“IPO”) in which the Company issued and sold 11,000,000 shares of its common stock, at a public offering price of $18.00 per share and received approximately $179.6 million in net proceeds, after deducting underwriting discounts and commission of approximately $13.9 million and offering expenses of approximately $4.5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September 25, 2024, in a concurrent private placement with Sofinnova Venture Partners, XI, L.P., an existing stockholder, the Company issued and sold 588,888 shares of its common stock at a price of $18.00 per share and received approximately $9.9 million in net proceeds, after deducting placement agent fees of approximately $0.7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1, 2024, the underwriters of the Company's IPO elected to exercise in full their option to purchase 1,650,000 additional shares of the Company's common stock at the IPO price of $18.00 per share. The Company received approximately $27.6 million in net proceeds, after deducting underwriting discounts and commissions of approximately $2.1 million.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October 2, 2025, the Company filed a universal shelf registration statement on Form S-3 (the “Registration Statement”) with the SEC, as amended on November 5, 2025, and entered into a sales agreement with Leerink Partners LLC, under which the Company may, from time to time, offer and sell common stock having an aggregate offering value of up to $75.0 million, referred to as the “at-the-market” offering with Leerink. The Company may terminate this at-the-market program at any time, pursuant to its terms.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1,400,000 shares of our common stock had been offered or sold pursuant to the “at-the-market” program with Leerink for gross proceeds of approximately $17.6 million, before deducting sales agent commission and offering costs of approximately $0.5 million, resulting in net proceeds of approximately $17.1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inception, the Company’s operations have consisted primarily of organizing and staffing the Company, business planning, raising capital, establishing its intellectual property portfolio, acquiring or discovering product candidates, research and development activities for its product candidates, establishing arrangements with third parties for the manufacture of its product candidates and component materials, and providing general and administrative support for these operations. The Company has not generated any product revenue to 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and had an accumulated deficit of $333.4 million as of December 31, 2025. The Company anticipates incurring additional losses until such time, if ever, that it can generate significant sales of its products currently in development. As of December 31, 2025, the Company had cash, cash equivalents and marketable securities of $285.1 million, of which $4.0 million were long-term marketable securities.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 cash, cash equivalents and marketable securities are sufficient to fund planned operations for at least one year after the date these consolidated financial statements are issued. Accordingly, these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0" w:name="page141"/>
    <w:bookmarkEnd w:id="14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the Company can generate substantial product revenues, it expects to finance its cash needs through equity offerings, debt financings or other capital sources, which could include collaborations, strategic alliances or licensing arrangements. To the extent that the Company raises additional capital through the sale of equity or convertible debt securities, the ownership interests of its existing stockholders may be diluted, and the terms of these securities may include liquidation or other preferences that could adversely affect the rights of such stockholders. Debt financing, if available, may involve agreements that include restrictive covenants that limit the Company’s ability to take specific actions, such as incurring additional debt, making capital expenditures or declaring dividends, that could adversely impact the Company’s ability to conduct its business. If the Company raises additional funds through collaborations, strategic alliances or licensing arrangements with third parties, the Company may have to relinquish valuable rights to the Company’s technologies, future revenue streams, research program or product candidates, or grant licenses on terms that may not be favorable to the Company. If the Company is unable to raise additional funds through equity or debt financings when needed, the Company may be required to delay, limit, reduce or terminate its product development or future commercialization efforts or grant rights to develop and market product candidates that the Company would otherwise prefer to develop and market itself.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United States of America generally accepted accounting principles (“GAAP”) and applicable rules and regulations of the Securities and Exchange Commission (the “SEC”) regarding annual financial reporting. Any reference in these notes to applicable guidance is meant to refer to GAAP as found in the Accounting Standards Codification (“ASC”) and Accounting Standards Updates (“ASU”) promulgated by the Financial Accounting Standards Board (“FASB”). The consolidated financial statements include the accounts of BioAge Labs, Inc. and its wholly owned subsidiary, BioAge Labs PTY LTD. BioAge Labs PTY LTD was incorporated in Australia in December 2020.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September 17, 2024, the Company amended its amended and restated certificate of incorporation in order to effect a 1-for-4.4626 reverse stock split of its outstanding shares of common stock (the “Reverse Stock Split”). As a result of the Reverse Stock Split, every 4.4626 shares of the Company’s common stock issued or outstanding were automatically reclassified into one new share of common stock, subject to the treatment of fractional shares as described below, without any action on the part of the holders. All historical share and per-share amounts reflected throughout the accompanying consolidated financial statements have been retroactively adjusted to reflect the Reverse Stock Split as if the split occurred as of the earliest period presented. The Reverse Stock Split did not affect the number of authorized shares of common stock or the par value of the common stock. No fractional shares were issued in connection with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period. Actual results could differ from those estimates.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revisions are reflected in the consolidated financial statements in the period they are determined to be necessary. Areas that require management’s estimates include the fair values of common and redeemable convertible preferred stock (prior to the IPO), warrant liability, embedded derivative liability, stock-based compensation expense assumptions, valuation of deferred tax assets, measure of progress toward satisfaction of the performance obligation for collaboration revenue, and accruals for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Results of foreign operations are translated into U.S. dollars (reporting currency) using average exchange rates in effect during the year while assets and liabilities are translated into U.S. dollars using exchange rates in effect at the balance sheet date. The resulting foreign currency translation adjustments are recorded in accumulated other comprehensive income (loss). Transaction gains and losses resulting from exchange rate changes on transactions denominated in currencies other than the U.S. dollar are included in operations in the period in which the transaction occurs.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performance assessment. The Company has determined that its chief executive officer is the CODM. The Company operates and manages its business as one reportable and operating segment, which is the business of extending healthy human life by targeting molecular causes of aging. The Company’s CODM reviews financial information on an aggregate basis for allocating and evaluating financial performance. All long-lived assets are maintained in, and all losses are attributable to, the United States of America. For further detail, see Note 13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original maturities of three months or less when acquired to be cash equivalents. Cash, and cash equivalents as of December 31, 2025 consisted of bank deposit, money market funds, commercial paper and corporate debt securities. As of December 31, 2024 cash and cash equivalents consisted of bank deposits and money market mutual funds.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Marketable securities consist of high-grade debt securities including corporate debt, commercial paper, U.S. government and U.S. government agency securities, and foreign corporate debt securities. Marketable securities with maturities within twelve months from the balance sheet date are classified as short-term marketable securities and those with maturities over twelve months from the balance sheet date are classified as long-term marketable securities. The Company classifies all marketable securities as available-for-sale, which are recorded at fair value. Unrealized gains and losses are included in accumulated other comprehensive income (loss) in stockholders’ equity. As of and for the year ended December 31, 2025, the Company did not have any allowance for credit losses or impairments of its marketable securities. The Company did not have any marketable securities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accounts receivable, cash, cash equivalents and marketable securities. Management monitors exposure to credit risk on an ongoing basis.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invests its excess cash in investment-grade, liquid instruments in accordance with its investment policy. The Company maintains cash balances at financial institutions that may exceed federally insured limits and is exposed to credit risk in the event of a default by the financial institutions holding its cash and by issuers of its cash equivalents and marketable securities. The Company has not experienced any losses on its deposits of cash, cash equivalents or marketable securities to date.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one customer accounted for 100% of the Company’s accounts receivable. For the year ended December 31, 2025, the same customer accounted for 100% of the Company’s revenue.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 financial instruments with off-balance sheet risk of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faces risks and uncertainties associated with companies in the biotechnology industry, including but not limited to the uncertainty of success of its preclinical studies and clinical trials, regulatory approval of product candidates, uncertainty of market acceptance of products, competition from substitute products and larger companies, the need for additional financing, compliance with government regulations, dependence on third parties, recruiting and retaining skilled personnel, and dependence on key members of management.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net is carried at cost less accumulated depreciation. Depreciation is computed over the estimated useful lives of the respective assets using the straight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line method. Useful lives of property and equipment range from three to five years. Operating lease leasehold improvements are amortized over the lesser of the useful lives of the leasehold improvements or the lease term. Upon retirement or sale, the costs of the assets disposed of and the related accumulated depreciation are removed from the accounts and any resulting gain or loss is credited or charged to operations. Maintenance and repairs are expensed as incurred. Asset improvements are capitalized.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may not be recoverable. Recoverability is measured by a comparison of the carrying amount of an asset to future undiscounted net cash flows which the assets are expected to generate. If such assets are considered to be impaired, the impairment is measured by the excess of the carrying amount of the assets over fair value less the costs to sell the assets, generally determined using the projected discounted future net cash flows arising from the asset. The Company did not recognize any impairment of long-lived assets during the years ended December 31, 2025 or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redeemable convertible preferred stock net of issuance costs on the date of issuance, which represents the carrying value. Redeemable convertible preferred stock is classified outside of stockholders’ deficit as temporary equity on the accompanying consolidated balance sheets as events triggering the liquidation preferences, including a deemed liquidation event, are not solely within the Company’s control.</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the closing of the IPO, all of the Company’s outstanding shares of redeemable convertible preferred stock automatically converted into 20,854,632 shares of common stock. As of December 31, 2025, the Company had no redeemable convertible preferred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Term loans are measured at net proceeds less debt discounts and issuance costs, which are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(Note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Freestanding warrants for the Company’s common stock are classified as liabilities and recorded at fair value, with any change in fair value recognized as a component of other income (expense). Such warrant liabilities are subject to re-measurement at each balance sheet date until the earlier of the exercise of the warrants, expiration, or the completion of a change in control event. Upon exercise, the warrant liability would be reclassified to additional paid-in capital, at its then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all direct and indirect costs associated with the development of the Company’s product candidates and other research programs. These expenses consist primarily of personnel costs, stock-based compensation charges, consulting fees, and payments to third parties for research, development, and manufacturing services as well as other allocated facility-related costs and overhead expenses. Nonrefundable advance payments for goods or services that will be used or rendered for future research and development activities are capitalized and expensed as the goods are delivered or the related services are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estimated costs of research, preclinical studies, clinical trials, and manufacturing, which are significant components of research and development expenses. A substantial portion of the Company’s ongoing research and development activities is conducted by third-party service providers, clinical research organizations (“CROs”),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3" w:name="page144"/>
    <w:bookmarkEnd w:id="143"/>
    <w:p>
      <w:pPr>
        <w:jc w:val="both"/>
        <w:spacing w:after="0" w:line="254" w:lineRule="auto"/>
        <w:rPr>
          <w:sz w:val="20"/>
          <w:szCs w:val="20"/>
          <w:color w:val="auto"/>
        </w:rPr>
      </w:pPr>
      <w:r>
        <w:rPr>
          <w:rFonts w:ascii="Times New Roman" w:cs="Times New Roman" w:eastAsia="Times New Roman" w:hAnsi="Times New Roman"/>
          <w:sz w:val="18"/>
          <w:szCs w:val="18"/>
          <w:color w:val="auto"/>
        </w:rPr>
        <w:t>and clinical manufacturing organizations (“CMOs”). The Company’s contracts with CROs generally include pass-through fees such as laboratory supplies and services,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or actual timeline (start-date and end-date) of the services and the agreed-upon fees to be paid for such services. In the event the Company makes advance payments, the payments are recorded as a prepaid expense and recognized as the services are performed.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actual costs become known, including subsequent to the reporting date, the Company adjusts its accruals. Although the Company does not expect its estimates to be materially different from amounts actually incurred, such estimates for the status and timing of services performed relative to the actual status and timing of services performed may vary and could result in the Company reporting amounts that are too high or too low in any particular period. The Company’s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the Company’s estimates, resulting in adjustments to clinical trial expenses in future periods. Changes in these estimates that result in material changes to the Company’s accruals could materially affect its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Contracts with Customers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ASC 606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evaluates the performance obligations promised in the contract that are based on goods and services that will be transferred to the customer and determines whether those obligations are both (i) capable of being distinct and (ii) distinct in the context of the contract. Goods or services that meet these criteria are considered distinct performance obligations. If both these criteria are not met, the goods and services are combined into a single performance obligation. The Company then recognizes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exercise of a material right is accounted for as a contract modification for accounting purposes.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as revenue the amount of the transaction price that is allocated to the respective performance obligation when (or as) each performance obligation is satisfied at a point in time or over time, and if over time this is based on the use of an output or input method.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Invoices issued as stipulated in contracts prior to revenue recognition are recorded as deferred revenue. Amounts expected to be recognized as revenue within the 12 months following the balance sheet date are classified as deferred revenue within current liabilities in the accompanying balance sheets. Amounts not expected to be recognized as revenue within the 12 months following the balance sheet date are classified as noncurrent deferred revenue. Amounts recognized as revenue, but not yet invoiced are generally recognized as contract assets in the other current assets line item in the accompanying balance sheets.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Milestone Payments – 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regulatory approvals, are not considered probable of being achieved until those approvals are received and therefore revenue recognized is constrained as management is unable to assert that a reversal of revenue would not be probable.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4" w:name="page145"/>
    <w:bookmarkEnd w:id="144"/>
    <w:p>
      <w:pPr>
        <w:jc w:val="both"/>
        <w:spacing w:after="0" w:line="282" w:lineRule="auto"/>
        <w:rPr>
          <w:sz w:val="20"/>
          <w:szCs w:val="20"/>
          <w:color w:val="auto"/>
        </w:rPr>
      </w:pPr>
      <w:r>
        <w:rPr>
          <w:rFonts w:ascii="Times New Roman" w:cs="Times New Roman" w:eastAsia="Times New Roman" w:hAnsi="Times New Roman"/>
          <w:sz w:val="18"/>
          <w:szCs w:val="18"/>
          <w:color w:val="auto"/>
        </w:rPr>
        <w:t>milestones and any related constraint, and, if necessary, adjusts its estimate of the overall transaction price. Any such adjustments are recorded on a cumulative catch-up basis, which would affect collaboration revenues and earnings in the period of adjustment.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Royalties – For arrangements that include sales-based royalties, including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linked to some or all of the royalty has been satisfied or partially satisfied. To date, the Company has not recognized any royalty revenue resulting from any of its licensing arrangements.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Collaborative Arrangements – The Company has entered into collaboration agreements, which are within the scope of ASC 606, to discover, develop, manufacture and commercialize product candidates. The terms of these agreements typically contain multiple promises or obligations, which may include: (1) licenses, or options to obtain licenses, to use the Company’s technology, (2) research and development activities to be performed on behalf of the collaboration partner, and (3) in certain cases, services in connection with the manufacturing of preclinical and clinical material. Payments the Company receives under these arrangements typically include one or more of the following: non-refundable, upfront license fees; option exercise fees; funding of research and/or development efforts; clinical and development, regulatory, and sales milestone payments; and royalties on future product sales.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 collaboration agreements are within the scope of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are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the Company applies the five-step model described above.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discussion of accounting for collaboration revenues, see Note 9, Collaboration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and restricted stock awards. Grants are awarded to employees and non-employees, including directors.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Compensation cost for the Company’s stock-based payments to employees, non-employees and directors, are based on estimated fair value of the awards on the date of grant. The Company estimates the fair value of options granted using the Black-Scholes option pricing model for stock option grants to both employees and non-employees.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directors and non-employees with service-based vesting conditions is recognized on a straight-line basis over the requisite service period, net of actual forfeitures.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future tax consequences attributable to the differences between the financial statement carrying amounts of existing assets and liabilities and their respective tax bases and the operating loss and tax credit carry forwards. Deferred tax assets and liabilities are measured at the balance sheet date using the enacted tax rates expected to apply to taxable income in the years in which those temporary differences are expected to be recovered or settled. Deferred tax assets are reduced by a valuation allowance if it is more likely than not that these assets may not be realized. The Company determines whether it is more-likely-than-not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5" w:name="page146"/>
    <w:bookmarkEnd w:id="145"/>
    <w:p>
      <w:pPr>
        <w:jc w:val="both"/>
        <w:spacing w:after="0" w:line="282" w:lineRule="auto"/>
        <w:rPr>
          <w:sz w:val="20"/>
          <w:szCs w:val="20"/>
          <w:color w:val="auto"/>
        </w:rPr>
      </w:pPr>
      <w:r>
        <w:rPr>
          <w:rFonts w:ascii="Times New Roman" w:cs="Times New Roman" w:eastAsia="Times New Roman" w:hAnsi="Times New Roman"/>
          <w:sz w:val="18"/>
          <w:szCs w:val="18"/>
          <w:color w:val="auto"/>
        </w:rPr>
        <w:t>amount that is more than 50% likely of being realized upon resolution of the contingency. No interest or penalties were incurred by the Company related to uncertain tax positions in the years ended December 31, 2025 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arrangement. Operating leases are included in right-of-use assets, current portion of operating lease liability, and operating lease liability, net of current portion in the accompanying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 Leases with an initial term of 12 months or less are not recorded on the balance sheet, unless they include an option to purchase the underlying asset or to extend the lease that the Company is reasonably certain to exercise.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from non-owner sources. Comprehensive loss is comprised of net loss and other comprehensive income (loss). The Company’s other comprehensive loss consists of foreign currency translation adjustments. Total comprehensive loss for all periods presented has been disclosed in the consolidated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attributable to common stockholders’ calculation, redeemable convertible preferred stock, stock options, and warrants are considered to be potentially dilutive securities.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Prior to the Company's Initial Public Offering and related conversion of redeemable convertible preferred stock into common shares, the Company applied the two-class method to calculate its basic and diluted net loss per share attributable to common stockholders as the Company has issued shares that meet the definition of participating securities. The two-class method is an earnings allocation formula that treats a participating security as having rights to earnings that otherwise would have been available to common stockholders. Participating securities consist of common stock and redeemable convertible preferred stock.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attributable to common stockholders is the same as basic net loss per share attributable to common stockholders, since dilutive common shares are not assumed to have been issued if their effect is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and Recently Issued Accounting Pronouncements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to improve its income tax disclosure requirements. Under the ASU, entities must annually (i) disclose specific categories in the rate reconciliation, (ii) provide additional information for reconciling items that meet a quantitative threshold, and (iii) disclose more detailed information about income taxes paid, including by jurisdiction; pretax income (or loss) from continuing operations; and income tax expense (or benefit). The Company adopted ASU 2023-09 effective December 31, 2025.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these notes to the consolidated financial statements for further details.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6" w:name="page147"/>
    <w:bookmarkEnd w:id="14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standard calls for enhanced disclosures about components of expense captions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face of the income statement. This standard will be effective for fiscal years beginning after December 15, 2026, with early adoption permitted and the option for retrospective application. This ASU will result in the required additional disclosures being included in the Company's consolidated financial statements, once adopted, and will have no impacts on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GAAP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Unobservable inputs are inputs that reflect the Company’s assumptions about the inputs that market participants would use in pricing the asset or liability and are developed based on the best information available in the circumstances.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Fair value is established as the exchange price, or exit price, representing the amount that would be received to sell an asset or paid to transfer a liability in an orderly transaction between market participants. As a basis for considering market participant assumptions in fair value measurements, an established three-tier fair value hierarchy distinguishes between the following:</w:t>
      </w:r>
    </w:p>
    <w:p>
      <w:pPr>
        <w:spacing w:after="0" w:line="68"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that are accessible at the market date for identical assets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assets or liability. Financial assets and liabilities are classified in their entirety based on the lowest level of input that is significant to the fair value measurement.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instrument.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current assets, accounts payable, accrued expenses and other current liabilities reported in the consolidated financial statements approximate their fair values due to their short-term 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7" w:name="page148"/>
    <w:bookmarkEnd w:id="147"/>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4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182,234</w:t>
            </w: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5,736</w:t>
            </w: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r>
      <w:tr>
        <w:trPr>
          <w:trHeight w:val="209"/>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182,234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188,612</w:t>
            </w:r>
          </w:p>
        </w:tc>
      </w:tr>
      <w:tr>
        <w:trPr>
          <w:trHeight w:val="216"/>
        </w:trPr>
        <w:tc>
          <w:tcPr>
            <w:tcW w:w="4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bonds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41,093</w:t>
            </w: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11,613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11,613</w:t>
            </w: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32,941</w:t>
            </w:r>
          </w:p>
        </w:tc>
      </w:tr>
      <w:tr>
        <w:trPr>
          <w:trHeight w:val="216"/>
        </w:trPr>
        <w:tc>
          <w:tcPr>
            <w:tcW w:w="4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1,510</w:t>
            </w: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92,210</w:t>
            </w:r>
          </w:p>
        </w:tc>
      </w:tr>
      <w:tr>
        <w:trPr>
          <w:trHeight w:val="216"/>
        </w:trPr>
        <w:tc>
          <w:tcPr>
            <w:tcW w:w="44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bonds</w:t>
            </w:r>
          </w:p>
        </w:tc>
        <w:tc>
          <w:tcPr>
            <w:tcW w:w="1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4,032</w:t>
            </w:r>
          </w:p>
        </w:tc>
      </w:tr>
      <w:tr>
        <w:trPr>
          <w:trHeight w:val="20"/>
        </w:trPr>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4,032</w:t>
            </w:r>
          </w:p>
        </w:tc>
      </w:tr>
      <w:tr>
        <w:trPr>
          <w:trHeight w:val="210"/>
        </w:trPr>
        <w:tc>
          <w:tcPr>
            <w:tcW w:w="446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6"/>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fair value of financial assets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227,359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284,854</w:t>
            </w:r>
          </w:p>
        </w:tc>
      </w:tr>
      <w:tr>
        <w:trPr>
          <w:trHeight w:val="197"/>
        </w:trPr>
        <w:tc>
          <w:tcPr>
            <w:tcW w:w="446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r>
      <w:tr>
        <w:trPr>
          <w:trHeight w:val="441"/>
        </w:trPr>
        <w:tc>
          <w:tcPr>
            <w:tcW w:w="4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9"/>
        </w:trPr>
        <w:tc>
          <w:tcPr>
            <w:tcW w:w="4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354,061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354,061</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-2291080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-2291080</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-2291080</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-1725295</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-1725295</wp:posOffset>
            </wp:positionV>
            <wp:extent cx="857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-1725295</wp:posOffset>
            </wp:positionV>
            <wp:extent cx="857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-1442720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-1425575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-1442720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-1425575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-1442720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-1425575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Securities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Cash equivalents include U.S. government obligation money market mutual funds, commercial paper and treasury bills that have a maturity of three months or less from the original acquisition date. The Company’s money market funds and treasury bills are classified using Level 1 inputs within the fair value hierarchy because they are valued using quoted market prices. U.S. government bonds are included within Level 1 of the fair value hierarchy because they are valued using quoted market prices. Corporate debt securities, commercial paper and U.S. government agency bonds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8" w:name="page149"/>
    <w:bookmarkEnd w:id="14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amortized costs, gross unrealized gains, gross unrealized losses, and estimated fair values by significant investment category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182,234</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2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188,612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188,612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bonds</w:t>
            </w: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41,093</w:t>
            </w: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32,941</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21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0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92,210</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bonds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to 2 years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2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284,732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284,854</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-864870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-864870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-864870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354,061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354,061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2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354,061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354,061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does not intend to sell the securities in an unrealized loss position and does not expect they will be required to sell the securities before maturity. No allowance for credit losses has been recognized as of December 31, 2025 or December 31, 2024. During the years ended December 31, 2025 and 2024, the Company did not recognize any impairment losses related to investments.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accrued interest receivable of $1.2 million, which was included in the prepaid expenses and other current assets financial statement line item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warrants representing 31,690 shares of common stock were outstanding. These warrants are classified as a liability since the warrants meet the classification requirements for liability accounting pursuant to ASC 815. This liability is subject to remeasurement at each balance sheet date until the warrants are exercised or expire, and any change in fair value is recognized in the Company’s statements of operations. The Company classifies the warrant liability within Level 3 of the fair value hierarchy as the assessed fair value is based on both observable and unobservable market inputs including the Company's stock price, risk-free rate, and volatility.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changes in fair value of the warrant liability for the year ended December 31, 2025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at December 31, 2024</w:t>
            </w:r>
          </w:p>
        </w:tc>
        <w:tc>
          <w:tcPr>
            <w:tcW w:w="5080" w:type="dxa"/>
            <w:vAlign w:val="bottom"/>
            <w:gridSpan w:val="2"/>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w:t>
            </w:r>
          </w:p>
        </w:tc>
        <w:tc>
          <w:tcPr>
            <w:tcW w:w="314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r>
      <w:tr>
        <w:trPr>
          <w:trHeight w:val="24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at December 31, 2025</w:t>
            </w:r>
          </w:p>
        </w:tc>
        <w:tc>
          <w:tcPr>
            <w:tcW w:w="314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r>
      <w:tr>
        <w:trPr>
          <w:trHeight w:val="629"/>
        </w:trPr>
        <w:tc>
          <w:tcPr>
            <w:tcW w:w="3920" w:type="dxa"/>
            <w:vAlign w:val="bottom"/>
          </w:tcPr>
          <w:p>
            <w:pPr>
              <w:spacing w:after="0"/>
              <w:rPr>
                <w:sz w:val="24"/>
                <w:szCs w:val="24"/>
                <w:color w:val="auto"/>
              </w:rPr>
            </w:pPr>
          </w:p>
        </w:tc>
        <w:tc>
          <w:tcPr>
            <w:tcW w:w="5080" w:type="dxa"/>
            <w:vAlign w:val="bottom"/>
            <w:gridSpan w:val="2"/>
          </w:tcPr>
          <w:p>
            <w:pPr>
              <w:jc w:val="right"/>
              <w:ind w:right="3110"/>
              <w:spacing w:after="0"/>
              <w:rPr>
                <w:sz w:val="20"/>
                <w:szCs w:val="20"/>
                <w:color w:val="auto"/>
              </w:rPr>
            </w:pPr>
            <w:r>
              <w:rPr>
                <w:rFonts w:ascii="Times New Roman" w:cs="Times New Roman" w:eastAsia="Times New Roman" w:hAnsi="Times New Roman"/>
                <w:sz w:val="18"/>
                <w:szCs w:val="18"/>
                <w:color w:val="auto"/>
              </w:rPr>
              <w:t>F-15</w:t>
            </w:r>
          </w:p>
        </w:tc>
        <w:tc>
          <w:tcPr>
            <w:tcW w:w="224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Depreciation expense was $0.2 million for each of the years ended December 31, 2025 and 2024.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-2322195</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-2039620</wp:posOffset>
            </wp:positionV>
            <wp:extent cx="111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the Company issued four convertible promissory notes with an aggregate principal amount of $23.5 million. Each note has an interest rate of 4% per annum and a maturity date of May 10, 2024 (the “Convertible Promissory Notes”). The notes and any accrued but unpaid interest were convertible at either the date of a qualified financing of at least $20.0 million (a “Qualified Financing”), or on the maturity date, at the option of the respective holder, and are convertible into the same securities issued in the Qualified Financing, or if no qualified financing occurs prior to maturity, then shall be convertible into the Company’s Series C Preferred Stock.</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a Qualified Financing, the Convertible Promissory Notes automatically convert into shares of the Company’s redeemable convertible preferred stock on the same conditions applicable for the Qualified Financing at a conversion price equal to the lowest price per share paid in the Qualified Financing multiplied by a discount factor ranging from 0.6 to 1.0 depending on the timing of the Qualified Financing.</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in connection with the closing of the Series D redeemable convertible preferred stock financing, the Convertible Promissory Notes (including accrued interest) and related embedded derivative liability converted into 11,887,535 shares of Series D-1 redeemable convertible preferred stock at a discount factor of 0.6 relative to the price paid by the Series D investors. The conversion resulted in a $0.3 million loss on extinguishment of the Convertible Promissory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2022, the Company entered into a loan and security agreement (the “Loan Agreement”) with SVB Innovative Credit Growth Fund IX, LP and Innovative Credit Growth Fund VIII-A, LP, (collectively, the “Lenders”) pursuant to which the Company was eligible to borrow, and the Lenders are obligated to fund up to $25.0 million in borrowing capacity across two potential tranches (the “Term Loan”). At the closing of the Loan Agreement in May 2022, the Company drew $2.5 million from the first tranche (the “Initial Term Loan”) and in May 2023 the Company drew $12.5 million from the second tranche (the “Additional Term Loan”).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Initial Term Loan of $2.5 million, the Company issued to the Lenders warrants to purchase 19,420 shares of the Company’s common stock. The warrants expire on May 20, 2032 and had a fair value of $125,602 at issuance. Similarly, in connection with the Additional Term Loan draw, the Company issued an additional warrant to purchase 5,548 shares of the Company’s common stock. The warrants expire on May 20, 2032 and had a fair value of $37,050 at issuance. As a result, proceeds from the debt equal to the fair value were allocated to these warrants and are amortized as part of the debt discount over the life of the Term Loan.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Interest for the Term Loan accrues at a floating per annum rate equal to the greater of (i) the Prime rate plus 4.00% or (ii) 7.50%. Interest is due monthly on the first business day of each month, commencing in June 2022. The Term Loan is scheduled to mature on April 1, 2026 and commencing on November 1, 2023 the Company is required to make monthly principal payments. The Company may prepay all of the outstanding principal balance of the Term Loan, at its option, prior to the maturity date subject to a prepayment premium of 1.0%. The prepayment premium will apply to any mandatory or voluntary prepayment. In addition, the Company will also be required to pay a final payment fee equal to 4.4% of the total amount borrowed.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Loan Agreement are subject to acceleration upon the occurrence of customary events of default, including payment default, insolvency and the occurrence of certain events having a material adverse effect on the Company, including (but not limited to) material adverse effects upon the business, operations, properties, assets or financial condition of the Company and its subsidiaries, taken as a whole.</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includes positive and negative covenants that the Company must comply with and is secured by the assets of the Company that are pledged as collateral.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Debt issuance costs, including the fair value of the warrants, have been treated as debt discounts in the consolidated balance sheet and together with the final payment are being amortized to interest expense throughout the life of the Term Loan using the effective interest rate method. As of December 31, 2025 and 2024, there were unamortized issuance costs and debt discounts of less than $0.1 million, which are recorded as a direct deduction from the Term Loan in the consolidated balance sheet. Interest expense related to the Loan Agreement was $0.7 million and $1.7 million for the year ended December 31, 2025 and 2024, respectively. As of December 31, 2025 and 2024, the stated rate on the Term Loan was 10.75% and 11.5%, respectively. As of December 31, 2025, the effective interest rate on the Term Loan, including the amortization of the debt discount and accretion of the final payment, was 15.5% for the Initial Term Loan and 13.9% for the Additional Term Loan. The carrying amount of the Term Loan is subject to variable interest rates, which are based on current market rates, and as such, approximate fair value.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the Term Loan balance were (in thousands):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9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loan balance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Final fee</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Term Loan</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Borders>
              <w:top w:val="single" w:sz="8" w:color="CFF0FC"/>
            </w:tcBorders>
          </w:tcPr>
          <w:p>
            <w:pPr>
              <w:spacing w:after="0"/>
              <w:rPr>
                <w:sz w:val="19"/>
                <w:szCs w:val="19"/>
                <w:color w:val="auto"/>
              </w:rPr>
            </w:pPr>
          </w:p>
        </w:tc>
      </w:tr>
      <w:tr>
        <w:trPr>
          <w:trHeight w:val="441"/>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December 31, 2025, the estimated future principal payments under the Term Loan are as follows (in thousands):</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-1015365</wp:posOffset>
            </wp:positionV>
            <wp:extent cx="102870"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Principal</w:t>
            </w: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Payments</w:t>
            </w:r>
          </w:p>
        </w:tc>
      </w:tr>
      <w:tr>
        <w:trPr>
          <w:trHeight w:val="210"/>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Term Loan</w:t>
            </w:r>
          </w:p>
        </w:tc>
        <w:tc>
          <w:tcPr>
            <w:tcW w:w="5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3880" w:type="dxa"/>
            <w:vAlign w:val="bottom"/>
          </w:tcPr>
          <w:p>
            <w:pPr>
              <w:spacing w:after="0"/>
              <w:rPr>
                <w:sz w:val="24"/>
                <w:szCs w:val="24"/>
                <w:color w:val="auto"/>
              </w:rPr>
            </w:pPr>
          </w:p>
        </w:tc>
        <w:tc>
          <w:tcPr>
            <w:tcW w:w="5580" w:type="dxa"/>
            <w:vAlign w:val="bottom"/>
            <w:gridSpan w:val="2"/>
          </w:tcPr>
          <w:p>
            <w:pPr>
              <w:jc w:val="right"/>
              <w:ind w:right="3570"/>
              <w:spacing w:after="0"/>
              <w:rPr>
                <w:sz w:val="20"/>
                <w:szCs w:val="20"/>
                <w:color w:val="auto"/>
              </w:rPr>
            </w:pPr>
            <w:r>
              <w:rPr>
                <w:rFonts w:ascii="Times New Roman" w:cs="Times New Roman" w:eastAsia="Times New Roman" w:hAnsi="Times New Roman"/>
                <w:sz w:val="18"/>
                <w:szCs w:val="18"/>
                <w:color w:val="auto"/>
              </w:rPr>
              <w:t>F-17</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Note 6. Capital Structure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the closing of the IPO, all of the Company’s outstanding shares of redeemable convertible preferred stock automatically converted into 20,854,632 shares of common stock.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500,000,000 shares of common stock authorized as of December 31, 2025 and December 31, 2024. In connection with the IPO, the Company's board of directors authorized 10,000,000 shares of preferred stock. As of December 31, 2025 and December 31, 2024, there were no preferred shares issued and outstanding. Common stock reserved for future issuance as of December 31, 2025,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20" w:type="dxa"/>
            <w:vAlign w:val="bottom"/>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7,914,058</w:t>
            </w:r>
          </w:p>
        </w:tc>
        <w:tc>
          <w:tcPr>
            <w:tcW w:w="1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5,384,142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2,128,767</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3,039,972</w:t>
            </w:r>
          </w:p>
        </w:tc>
      </w:tr>
      <w:tr>
        <w:trPr>
          <w:trHeight w:val="216"/>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and outstanding</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31,690</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31,690</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10,074,515</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8,455,804</w:t>
            </w:r>
          </w:p>
        </w:tc>
      </w:tr>
      <w:tr>
        <w:trPr>
          <w:trHeight w:val="20"/>
        </w:trPr>
        <w:tc>
          <w:tcPr>
            <w:tcW w:w="78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-170815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its stock option plans, the Company’s board of directors may grant stock options to employees, directors and consultants. The Company issued stock options under the 2015 Equity Incentive Plan, as amended (the “2015 plan”) until September 2024, when the 2024 Equity Incentive Plan (“2024 Plan”) was adopted. There are no remaining shares available to be granted under the 2015 Plan. There were 4,393,583 and 3,520,475 stock options outstanding under the 2015 Plan and 2024 Plan, respectively, as of December 31, 2025.</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2024 Plan authorizes the award of incentive stock options ("ISOs"), which are intended to qualify for tax treatment under Section 422 of the U.S. Internal Revenue Code of 1986, as amended, and nonqualified stock options, Restricted Stock Awards, Stock Appreciation Rights, Restricted Stock Units, (each as defined in the 2024 Plan, performance awards and stock bonus awards (each as defined in the 2024 Plan). The 2024 Plan initially reserved 3,650,000 shares of the Company's common stock, which includes any reserved shares not issued or subject to outstanding grants under the 2015 Plan on the effective date of the 2024 Plan, for issuance pursuant to awards granted under our 2024 Plan. The number of shares reserved for issuance under the 2024 Plan will increase automatically on January 1 of each of the first ten calendar years during the term of the 2024 Plan by the number of shares equal to the lesser of 5% of the aggregate number of all classes of the Company's common stock and the total number of shares of the Company's common stock subject to any pre-funded warrants, in each case, as issued and outstanding as of the immediately preceding December 31, or a number as may be determined by the Company's board of directors. Pursuant to the 2024 Plan, ISOs may be granted only to employees of the Company. The Company may grant all other types of awards to its employees, directors and consultants.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2,128,767 shares were available for future grants under the 2024 Plan. The Plan permits the granting of incentive stock options, non-statutory stock options, stock awards, and stock purchase rights. The terms of the agreements are determined by the board of directors. The Company’s stock options have a maximum term of 10 years and vest based on the terms in the agreements, generally over 4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2" w:name="page153"/>
    <w:bookmarkEnd w:id="152"/>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420" w:type="dxa"/>
            <w:vAlign w:val="bottom"/>
          </w:tcPr>
          <w:p>
            <w:pPr>
              <w:spacing w:after="0"/>
              <w:rPr>
                <w:sz w:val="18"/>
                <w:szCs w:val="18"/>
                <w:color w:val="auto"/>
              </w:rPr>
            </w:pP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Value (in</w:t>
            </w:r>
          </w:p>
        </w:tc>
      </w:tr>
      <w:tr>
        <w:trPr>
          <w:trHeight w:val="238"/>
        </w:trPr>
        <w:tc>
          <w:tcPr>
            <w:tcW w:w="4420" w:type="dxa"/>
            <w:vAlign w:val="bottom"/>
          </w:tcPr>
          <w:p>
            <w:pPr>
              <w:spacing w:after="0"/>
              <w:rPr>
                <w:sz w:val="20"/>
                <w:szCs w:val="20"/>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5,384,142</w:t>
            </w:r>
          </w:p>
        </w:tc>
        <w:tc>
          <w:tcPr>
            <w:tcW w:w="128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Change in authorized shares</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2,964,646</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(297,859)</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7,914,058</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46,246</w:t>
            </w:r>
          </w:p>
        </w:tc>
      </w:tr>
      <w:tr>
        <w:trPr>
          <w:trHeight w:val="20"/>
        </w:trPr>
        <w:tc>
          <w:tcPr>
            <w:tcW w:w="44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4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December 31, 2025</w:t>
            </w:r>
          </w:p>
        </w:tc>
        <w:tc>
          <w:tcPr>
            <w:tcW w:w="166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3,717,317</w:t>
            </w:r>
          </w:p>
        </w:tc>
        <w:tc>
          <w:tcPr>
            <w:tcW w:w="1280" w:type="dxa"/>
            <w:vAlign w:val="bottom"/>
            <w:gridSpan w:val="2"/>
            <w:shd w:val="clear" w:color="auto" w:fill="CFF0FC"/>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3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18,914</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-334010</wp:posOffset>
            </wp:positionV>
            <wp:extent cx="93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-334010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939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939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the stock options that were exercised during the year ended December 31, 2025 and 2024 were $0.8 million and $1.0 million,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 ended December 31, 2025 and 2024 was $3.67 and $8.81, respectively, and were estimated on the date of grant using a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36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560" w:type="dxa"/>
            <w:vAlign w:val="bottom"/>
          </w:tcPr>
          <w:p>
            <w:pPr>
              <w:spacing w:after="0"/>
              <w:rPr>
                <w:sz w:val="18"/>
                <w:szCs w:val="18"/>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stock options (in years)</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 years</w:t>
            </w:r>
          </w:p>
        </w:tc>
        <w:tc>
          <w:tcPr>
            <w:tcW w:w="12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expected stock price volatility</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Estimated dividend yield</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statements of operations and comprehensive loss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3,188</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8,503</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5,040</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11,691</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6,979</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$23.8 million of unrecognized compensation cost that is expected to be recognized over a weighted average period of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2024, the Company adopted the 2024 Employee Stock Purchase Plan (the "2024 ESPP"). The 2024 ESPP enables eligible employees to purchase shares of the Company's common stock with accumulated payroll deductions. The Company has initially reserved 330,000 shares of its common stock for sale under the 2024 ESPP. The aggregate number of shares issued over the term of the 2024 ESPP, subject to stock-splits, recapitalizations or similar events, may not exceed 3,300,000 shares of the Company's common stock. As of December 31, 2025, there were a total of 688,500 shares available for future purchase under the 2024 ESPP.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entered into indemnification agreements with directors and certain officers that will require the Company, among other things, to indemnify them against certain liabilities that may arise by reason of their status or service as directors or officers. No demands have been made upon the Company to provide indemnification under such agreements, and thus, there are no claims that the Company is aware of that could have a material effect on the consolidated financial statements. The Company also maintains director and officer insurance, which may cover certain liabilities arising from the Company’s obligation to indemnify its directors and officers. To date, the Company has not incurred any costs and have not accrued any liabilities in the consolidated financial statements as a result of these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7, 2025, a putative securities class action complaint was filed against the Company and certain of its officers and directors in the United States District Court for the Northern District of California (the "Court"). The complaint alleged violations of Section 11 and Section 15 of the Securities Act of 1933, based on allegations that defendants misrepresented and/or omitted certain information in the Company’s Registration Statement concerning azelaprag. An amended complaint was filed on June 2, 2025. On October 30, 2025, the Court entered an order granting defendants’ motion to dismiss without prejudice. On November 20, 2025, a further amended complaint was filed. On March 2, 2026, the Court entered an order granting defendants’ further motion to dismiss with prejudice. Plaintiff must file any notice of appeal within 30 days after entry of judgment.</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is subject to legal proceedings. The Company accrues a liability for such matters when it is probable that a liability has been incurred and that the amount can be reasonably estimated. Legal fees and other costs associated with such proceedings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2017, the Company entered into an agreement to lease office and lab space in Richmond California, which the Company used for its corporate offices and research facility (the “Richmond Lease”). The Richmond lease expired in August 2025. The Company recognized rent expense on a straight-line basis over the lease term. The Richmond lease did not provide a bargain purchase option nor did it transfer ownership at any point during the lease to the Company and was classified as an operating lease.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entered into an agreement to lease approximately 10,479 square feet of office and lab space in Emeryville, California (the "Emeryville Lease"). The Emeryville Lease commenced on February 25, 2025, as that was the date that the Company obtained control over the facility. The Emeryville Lease has an initial term of six years, ending in February 2031. The Emeryville Lease includes escalating rent payments and includes an option to extend the lease term for an additional five years. The Company is not reasonably certain to exercise the option to extend the lease term. The Company recognizes rent expense on a straight-line basis over the lease term. The Emeryville Lease does not provide a bargain purchase option nor does it transfer ownership at any point during the lease to the Company and is classified as an operating lease.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Emeryville Lease remaining lease term was 5.2 years and the discount rate used to determine the operating lease liability was 11.6%.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lease expense was $0.8 million and $0.3 million for the years ended December 31, 2025 and 2024, respectively. Cash paid for amounts included in the measurement of operating lease liabilities was $0.8 million and $0.3 million for the years ended December 31, 2025 and 2024, respectively, and was included in net cash used in operating activities in the Company’s consolidated statement of cash flows. Variable lease payments related to operating leases for the years ended December 31, 2025 and 2024 were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December 31, 2025, maturities of lease liabilities were as follows:</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3,950</w:t>
            </w: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1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2,912</w:t>
            </w:r>
          </w:p>
        </w:tc>
      </w:tr>
      <w:tr>
        <w:trPr>
          <w:trHeight w:val="209"/>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Pharma AG Collaboration Agreement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16, 2024, the Company entered into a collaboration agreement with Novartis Pharma AG ("Novartis") to identify and validate novel therapeutic drug targets by investigating the biological mechanisms that drive diseases related to aging and mediate the beneficial effects of physical exercise (the "Novartis Agreement").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Novartis Agreement, the Company is obligated to perform additional analyses on the Company's longitudinal human aging cohort datasets, to expand data included in the Company's discovery platform, and perform other activities to enable the identification and validation of novel therapeutic drug targets. The Company has determined these activities represent a single performance obligation.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under the Novartis Agreement, the Company has received and may receive upfront payments and research funding of up to $20.0 million, and up to $530.0 million in future long-term research, development, and commercial milestones. The Company and Novartis each have the right to advance novel targets discovered under the Novartis Agreement and are each eligible to receive reciprocal success milestones and receive tiered royalties on net sales of licensed products.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Collaboration revenue of $9.0 million was recognized under the Novartis Agreement in the year ended December 31, 2025. No collaboration revenue was recognized under the Novartis Agreement in the year ended December 31, 2024. During the year ended December 31, 2025, the Company recorded $6.7 million in revenue that was included in deferred revenue as of December 31, 2024 and $2.2 million in revenue related to research funding for reimbursable costs incurred during the year ended December 31, 2025. Deferred revenue related to the Novartis Agreement amounted to $5.8 million and $12.5 million as of December 31, 2025, and December 31, 2024, respectively, of which $5.8 million and $7.8 million, respectively, was included in current liabilities within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Wellcome Leap Commercial Research Funding Agreement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 entered into a Commercial Research Funding Agreement with Wellcome Leap, Inc. (the “Wellcome Leap Agreement”) in which Wellcome Leap was to fund certain research and development work performed by the Company. In connection with the Wellcome Leap Agreement, the Company entered into a statement of work in which the Company was to evaluate azelaprag’s efficacy at preventing muscle atrophy and frailty during hospitalization in chronic obstructive pulmonary disease (“COPD”) patients through a Phase 2 clinical trial (the “COPD Trial”).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Also, in September 2023, Wellcome Leap made a payment of $3.3 million to the Company to cover costs to be incurred related to the COPD Trial (the “Grant Funds”).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5" w:name="page156"/>
    <w:bookmarkEnd w:id="15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the Company informed Wellcome Leap that it planned to terminate the COPD Trial due to concerns regarding commercial feasibility and on May 31, 2024, the Company and Wellcome Leap terminated the Wellcome Leap Agreement (the “Wellcome Leap Termination”). In connection with the Wellcome Leap Termination, the Company returned $2.4 million of unused Grant Funds received to Wellcome Leap in June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No income tax expense or benefit has been recorded for the years ended December 31, 2025 or 2024. This is due to the establishment of a valuation allowance against the deferred tax assets generated during those periods. At December 31, 2025, the Company has concluded that it is more likely than not that the Company will not realize the benefit of its deferred tax assets due to its history of losses. Accordingly, the net deferred tax assets have been fully reserved.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components of loss before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620" w:type="dxa"/>
            <w:vAlign w:val="bottom"/>
            <w:tcBorders>
              <w:bottom w:val="single" w:sz="8" w:color="auto"/>
            </w:tcBorders>
          </w:tcPr>
          <w:p>
            <w:pPr>
              <w:spacing w:after="0"/>
              <w:rPr>
                <w:sz w:val="22"/>
                <w:szCs w:val="22"/>
                <w:color w:val="auto"/>
              </w:rPr>
            </w:pPr>
          </w:p>
        </w:tc>
      </w:tr>
      <w:tr>
        <w:trPr>
          <w:trHeight w:val="209"/>
        </w:trPr>
        <w:tc>
          <w:tcPr>
            <w:tcW w:w="6620" w:type="dxa"/>
            <w:vAlign w:val="bottom"/>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book loss</w:t>
            </w:r>
          </w:p>
        </w:tc>
        <w:tc>
          <w:tcPr>
            <w:tcW w:w="1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Domestic</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(80,585)</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(71,094)</w:t>
            </w:r>
          </w:p>
        </w:tc>
      </w:tr>
      <w:tr>
        <w:trPr>
          <w:trHeight w:val="216"/>
        </w:trPr>
        <w:tc>
          <w:tcPr>
            <w:tcW w:w="66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1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book loss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(80,605)</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w:t>
            </w:r>
          </w:p>
        </w:tc>
      </w:tr>
      <w:tr>
        <w:trPr>
          <w:trHeight w:val="20"/>
        </w:trPr>
        <w:tc>
          <w:tcPr>
            <w:tcW w:w="6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income tax benefit at the statutory federal income tax rate and income taxes as reflected in the consolidated financial statements as of December 31, 2025 and 2024 after the adoption of ASU 2023-09 is as follows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20" w:type="dxa"/>
            <w:vAlign w:val="bottom"/>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1780" w:type="dxa"/>
            <w:vAlign w:val="bottom"/>
            <w:tcBorders>
              <w:bottom w:val="single" w:sz="8" w:color="auto"/>
            </w:tcBorders>
          </w:tcPr>
          <w:p>
            <w:pPr>
              <w:spacing w:after="0"/>
              <w:rPr>
                <w:sz w:val="22"/>
                <w:szCs w:val="22"/>
                <w:color w:val="auto"/>
              </w:rPr>
            </w:pPr>
          </w:p>
        </w:tc>
      </w:tr>
      <w:tr>
        <w:trPr>
          <w:trHeight w:val="210"/>
        </w:trPr>
        <w:tc>
          <w:tcPr>
            <w:tcW w:w="48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Pr>
          <w:p>
            <w:pPr>
              <w:spacing w:after="0"/>
              <w:rPr>
                <w:sz w:val="18"/>
                <w:szCs w:val="18"/>
                <w:color w:val="auto"/>
              </w:rPr>
            </w:pPr>
          </w:p>
        </w:tc>
        <w:tc>
          <w:tcPr>
            <w:tcW w:w="3460" w:type="dxa"/>
            <w:vAlign w:val="bottom"/>
            <w:gridSpan w:val="3"/>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7"/>
        </w:trPr>
        <w:tc>
          <w:tcPr>
            <w:tcW w:w="48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69"/>
              <w:spacing w:after="0" w:line="188" w:lineRule="exact"/>
              <w:rPr>
                <w:sz w:val="20"/>
                <w:szCs w:val="20"/>
                <w:color w:val="auto"/>
              </w:rPr>
            </w:pPr>
            <w:r>
              <w:rPr>
                <w:rFonts w:ascii="Times New Roman" w:cs="Times New Roman" w:eastAsia="Times New Roman" w:hAnsi="Times New Roman"/>
                <w:sz w:val="18"/>
                <w:szCs w:val="18"/>
                <w:b w:val="1"/>
                <w:bCs w:val="1"/>
                <w:color w:val="auto"/>
              </w:rPr>
              <w:t>% of Pretax</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238"/>
        </w:trPr>
        <w:tc>
          <w:tcPr>
            <w:tcW w:w="482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Pretax Losses</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(16,927)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5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8"/>
        </w:trPr>
        <w:tc>
          <w:tcPr>
            <w:tcW w:w="48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Statutory tax rate difference between Australia and United</w:t>
            </w:r>
          </w:p>
        </w:tc>
        <w:tc>
          <w:tcPr>
            <w:tcW w:w="15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r>
      <w:tr>
        <w:trPr>
          <w:trHeight w:val="234"/>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States</w:t>
            </w: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R&amp;D Credits</w:t>
            </w: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(2,408)</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18,364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16,080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5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unrecognized tax benefit</w:t>
            </w:r>
          </w:p>
        </w:tc>
        <w:tc>
          <w:tcPr>
            <w:tcW w:w="1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572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Deferred tax asset and liabilities are determined based on the differences between the financial statement carrying amounts and tax bases of assets and liabilities using enacted tax rates in effect for the years in which differences are expected to reverse.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6" w:name="page157"/>
    <w:bookmarkEnd w:id="156"/>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taxes as of December 31, 2025 and 2024 consisted of the following (in thousands):</w:t>
      </w:r>
    </w:p>
    <w:p>
      <w:pPr>
        <w:spacing w:after="0" w:line="21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8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43,966</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22,830</w:t>
            </w:r>
          </w:p>
        </w:tc>
      </w:tr>
      <w:tr>
        <w:trPr>
          <w:trHeight w:val="216"/>
        </w:trPr>
        <w:tc>
          <w:tcPr>
            <w:tcW w:w="8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business credit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10,375</w:t>
            </w:r>
          </w:p>
        </w:tc>
        <w:tc>
          <w:tcPr>
            <w:tcW w:w="2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8,063</w:t>
            </w:r>
          </w:p>
        </w:tc>
      </w:tr>
      <w:tr>
        <w:trPr>
          <w:trHeight w:val="216"/>
        </w:trPr>
        <w:tc>
          <w:tcPr>
            <w:tcW w:w="8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 of temporary difference</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3,903</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2,461</w:t>
            </w:r>
          </w:p>
        </w:tc>
      </w:tr>
      <w:tr>
        <w:trPr>
          <w:trHeight w:val="216"/>
        </w:trPr>
        <w:tc>
          <w:tcPr>
            <w:tcW w:w="8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3,797</w:t>
            </w:r>
          </w:p>
        </w:tc>
        <w:tc>
          <w:tcPr>
            <w:tcW w:w="2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1,863</w:t>
            </w:r>
          </w:p>
        </w:tc>
      </w:tr>
      <w:tr>
        <w:trPr>
          <w:trHeight w:val="216"/>
        </w:trPr>
        <w:tc>
          <w:tcPr>
            <w:tcW w:w="8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10,746</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19,914</w:t>
            </w:r>
          </w:p>
        </w:tc>
      </w:tr>
      <w:tr>
        <w:trPr>
          <w:trHeight w:val="216"/>
        </w:trPr>
        <w:tc>
          <w:tcPr>
            <w:tcW w:w="8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 liability</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2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tcPr>
          <w:p>
            <w:pPr>
              <w:spacing w:after="0"/>
              <w:rPr>
                <w:sz w:val="18"/>
                <w:szCs w:val="18"/>
                <w:color w:val="auto"/>
              </w:rPr>
            </w:pP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947</w:t>
            </w:r>
          </w:p>
        </w:tc>
      </w:tr>
      <w:tr>
        <w:trPr>
          <w:trHeight w:val="210"/>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75,700</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56,121</w:t>
            </w:r>
          </w:p>
        </w:tc>
      </w:tr>
      <w:tr>
        <w:trPr>
          <w:trHeight w:val="216"/>
        </w:trPr>
        <w:tc>
          <w:tcPr>
            <w:tcW w:w="7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(75,060)</w:t>
            </w:r>
          </w:p>
        </w:tc>
        <w:tc>
          <w:tcPr>
            <w:tcW w:w="2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(56,061)</w:t>
            </w:r>
          </w:p>
        </w:tc>
      </w:tr>
      <w:tr>
        <w:trPr>
          <w:trHeight w:val="209"/>
        </w:trPr>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8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Fixed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Right-of-use-asset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to market investments</w:t>
            </w: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deferred tax assets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-1122680</wp:posOffset>
            </wp:positionV>
            <wp:extent cx="1200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-839470</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U.S. federal and state net operating loss carryforwards (“NOL”) of $204.1 million and $15.9 million, respectively, at December 31, 2025. Net operating loss carryforwards of $3.8 million and $13.5 million begin to expire in 2035 for federal and state income tax purposes respectively. Net operating loss carryforwards of $200.3 million and $2.4 million for federal and state income tax purposes respectively do not expire. The Company also has $0.4 million in foreign net operating loss carry forwards that do not expire. The Company has $9.0 million and $5.9 million in federal and state research and development credits, respectively, that begin to expire in 2038 for federal income tax purposes and that do not expire for state income tax purposes, respectively.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 100% valuation allowance against the net deferred tax assets as of December 31, 2025 and 2024 because realization is not more likely than not based on available positive and negative evidence. The change in valuation allowance was $19.0 million and $17.0 million as of December 31, 2025 and 2024,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incorporated a subsidiary in Australia in 2020. However, the company has minimal activity and as such, has no undistributed earnings.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net operating losses and other tax attributes may be subject to limitation under Section 382 and 383 of the U.S. Internal Revenue Code of 1986, as amended (the Code), if the Company has undergone an ownership change. An ownership change is generally defined as a greater than 50 percentage point change (by value) in equity ownership by certain stockholders or groups of stockholders over a three-year period. It is possible that the Company has undergone one or more ownership changes in the past or may undergo one in the future. An ownership change limits the Company’s ability to use pre-change net operating loss carryforwards and other pre-change tax attributes to offset post-change income. Similar provisions of state tax law may also apply to limit the use of state net operating losses and attributes.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During 2025, the Company expensed domestic Section 174 R&amp;E costs as incurred. The OBBBA also allows the Company to fully expense previously capitalized costs. The Company has immediately expensed $60.5 million of domestic Section 174 costs resulting in a reclassification of $12.7 million net DTA from the capitalized R&amp;D expenses DTA to the net operating loss DTA. The overall impact of the change to Section 174 does not materially impact the financial statements and has no impact on the net deferred tax assets and valuation allowance.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8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 has the following activity relating to the gross amount of unrecognized tax benefits (in thousands):</w:t>
            </w:r>
          </w:p>
        </w:tc>
        <w:tc>
          <w:tcPr>
            <w:tcW w:w="2260" w:type="dxa"/>
            <w:vAlign w:val="bottom"/>
          </w:tcPr>
          <w:p>
            <w:pPr>
              <w:spacing w:after="0"/>
              <w:rPr>
                <w:sz w:val="20"/>
                <w:szCs w:val="20"/>
                <w:color w:val="auto"/>
              </w:rPr>
            </w:pPr>
          </w:p>
        </w:tc>
      </w:tr>
      <w:tr>
        <w:trPr>
          <w:trHeight w:val="216"/>
        </w:trPr>
        <w:tc>
          <w:tcPr>
            <w:tcW w:w="89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8980" w:type="dxa"/>
            <w:vAlign w:val="bottom"/>
            <w:shd w:val="clear" w:color="auto" w:fill="CFF0FC"/>
          </w:tcPr>
          <w:p>
            <w:pPr>
              <w:jc w:val="center"/>
              <w:ind w:right="637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8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Increases related to 2024</w:t>
            </w:r>
          </w:p>
        </w:tc>
        <w:tc>
          <w:tcPr>
            <w:tcW w:w="2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r>
      <w:tr>
        <w:trPr>
          <w:trHeight w:val="210"/>
        </w:trPr>
        <w:tc>
          <w:tcPr>
            <w:tcW w:w="8980" w:type="dxa"/>
            <w:vAlign w:val="bottom"/>
            <w:tcBorders>
              <w:bottom w:val="single" w:sz="8" w:color="CFF0FC"/>
            </w:tcBorders>
            <w:shd w:val="clear" w:color="auto" w:fill="CFF0FC"/>
          </w:tcPr>
          <w:p>
            <w:pPr>
              <w:jc w:val="center"/>
              <w:ind w:right="637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3,390</w:t>
            </w:r>
          </w:p>
        </w:tc>
      </w:tr>
      <w:tr>
        <w:trPr>
          <w:trHeight w:val="209"/>
        </w:trPr>
        <w:tc>
          <w:tcPr>
            <w:tcW w:w="8980" w:type="dxa"/>
            <w:vAlign w:val="bottom"/>
          </w:tcPr>
          <w:p>
            <w:pPr>
              <w:jc w:val="center"/>
              <w:ind w:right="6350"/>
              <w:spacing w:after="0"/>
              <w:rPr>
                <w:sz w:val="20"/>
                <w:szCs w:val="20"/>
                <w:color w:val="auto"/>
              </w:rPr>
            </w:pPr>
            <w:r>
              <w:rPr>
                <w:rFonts w:ascii="Times New Roman" w:cs="Times New Roman" w:eastAsia="Times New Roman" w:hAnsi="Times New Roman"/>
                <w:sz w:val="18"/>
                <w:szCs w:val="18"/>
                <w:color w:val="auto"/>
                <w:w w:val="99"/>
              </w:rPr>
              <w:t>Decrease related to prior periods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Increases related to 2025</w:t>
            </w: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r>
      <w:tr>
        <w:trPr>
          <w:trHeight w:val="210"/>
        </w:trPr>
        <w:tc>
          <w:tcPr>
            <w:tcW w:w="8980" w:type="dxa"/>
            <w:vAlign w:val="bottom"/>
          </w:tcPr>
          <w:p>
            <w:pPr>
              <w:jc w:val="center"/>
              <w:ind w:right="637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4,274</w:t>
            </w:r>
          </w:p>
        </w:tc>
      </w:tr>
      <w:tr>
        <w:trPr>
          <w:trHeight w:val="20"/>
        </w:trPr>
        <w:tc>
          <w:tcPr>
            <w:tcW w:w="89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gross unrecognized tax benefits of $4.3 million and $3.4 million, respectively. None of the unrecognized benefit at December 31, 2025 would impact the effective tax rate if recognized.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income taxes. No amounts were accrued for the payment of interest and penalties as December 31, 2025 or 2024.</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years of the Company are open to examination by federal, state and foreign tax authorities. The Company has not been informed by any tax authorities for any jurisdiction that any of its tax years is under examination as of December 31,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of cash income taxes paid by the Company during the years ended December 31, 2025 and 2024 was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 Attributable to Common Stockholders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for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(80,605)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(71,109)</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share attributable</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35,932,914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10,726,521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 common stockholders, basic and diluted</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securities have been excluded from the computation of diluted net loss per share attributable to common stockholders as the effect would be antidilutive. Therefore, the weighted-average number of shares of common stock outstanding used to calculate both basic and diluted net loss per share attributable to common stockholders is the same. Potentially dilutive securities that were not included in the diluted per share calculations because they would be anti-dilutive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7,914,058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5,384,142</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6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100" w:type="dxa"/>
            <w:vAlign w:val="bottom"/>
          </w:tcPr>
          <w:p>
            <w:pPr>
              <w:spacing w:after="0"/>
              <w:rPr>
                <w:sz w:val="18"/>
                <w:szCs w:val="18"/>
                <w:color w:val="auto"/>
              </w:rPr>
            </w:pPr>
          </w:p>
        </w:tc>
      </w:tr>
      <w:tr>
        <w:trPr>
          <w:trHeight w:val="250"/>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7,945,748</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5,415,832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080" w:type="dxa"/>
            <w:vAlign w:val="bottom"/>
          </w:tcPr>
          <w:p>
            <w:pPr>
              <w:spacing w:after="0"/>
              <w:rPr>
                <w:sz w:val="24"/>
                <w:szCs w:val="24"/>
                <w:color w:val="auto"/>
              </w:rPr>
            </w:pPr>
          </w:p>
        </w:tc>
        <w:tc>
          <w:tcPr>
            <w:tcW w:w="5220" w:type="dxa"/>
            <w:vAlign w:val="bottom"/>
            <w:gridSpan w:val="2"/>
          </w:tcPr>
          <w:p>
            <w:pPr>
              <w:jc w:val="right"/>
              <w:ind w:right="3410"/>
              <w:spacing w:after="0"/>
              <w:rPr>
                <w:sz w:val="20"/>
                <w:szCs w:val="20"/>
                <w:color w:val="auto"/>
              </w:rPr>
            </w:pPr>
            <w:r>
              <w:rPr>
                <w:rFonts w:ascii="Times New Roman" w:cs="Times New Roman" w:eastAsia="Times New Roman" w:hAnsi="Times New Roman"/>
                <w:sz w:val="18"/>
                <w:szCs w:val="18"/>
                <w:color w:val="auto"/>
              </w:rPr>
              <w:t>F-24</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-916940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under which employee contributions are voluntary and are determined on an individual basis, limited by the maximum amounts allowable under federal tax regulations. The Company provides an automatic matching contribution of employee contributions into the plan up to a maximum of 4% of employee deferral. The Company’s matching contributions to employees were $0.6 million and $0.5 million in the years ended December 31,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one reportable segment, which is the business of extending healthy human life by targeting molecular causes of aging.</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CODM is its chief executive officer. When evaluating the Company's financial performance, the CODM reviews total operating expenses and expense by function to make decisions on a company-wide basis.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single reportable segment entity, the determined measure of profit or loss is the Company’s consolidated net income (loss). Consolidated asset information for the Company’s single reportable segment is presented in the Company’s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net loss, including significant segment expenses:</w:t>
      </w:r>
    </w:p>
    <w:p>
      <w:pPr>
        <w:spacing w:after="0" w:line="244"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8,995</w:t>
            </w:r>
          </w:p>
        </w:tc>
        <w:tc>
          <w:tcPr>
            <w:tcW w:w="1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program costs</w:t>
            </w: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49,449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37,132</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24,517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21,904</w:t>
            </w:r>
          </w:p>
        </w:tc>
        <w:tc>
          <w:tcPr>
            <w:tcW w:w="0" w:type="dxa"/>
            <w:vAlign w:val="bottom"/>
          </w:tcPr>
          <w:p>
            <w:pPr>
              <w:spacing w:after="0"/>
              <w:rPr>
                <w:sz w:val="1"/>
                <w:szCs w:val="1"/>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27,809</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19,158</w:t>
            </w:r>
          </w:p>
        </w:tc>
        <w:tc>
          <w:tcPr>
            <w:tcW w:w="0" w:type="dxa"/>
            <w:vAlign w:val="bottom"/>
          </w:tcPr>
          <w:p>
            <w:pPr>
              <w:spacing w:after="0"/>
              <w:rPr>
                <w:sz w:val="1"/>
                <w:szCs w:val="1"/>
                <w:color w:val="auto"/>
              </w:rPr>
            </w:pPr>
          </w:p>
        </w:tc>
      </w:tr>
      <w:tr>
        <w:trPr>
          <w:trHeight w:val="210"/>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and segment expenses</w:t>
            </w:r>
          </w:p>
        </w:tc>
        <w:tc>
          <w:tcPr>
            <w:tcW w:w="94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101,775</w:t>
            </w:r>
          </w:p>
        </w:tc>
        <w:tc>
          <w:tcPr>
            <w:tcW w:w="5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(92,780)</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(78,194)</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12,175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(80,605)</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the Company completed an underwritten public offering of its common stock, issuing 5,897,435 shares at a public offering price of $19.50 per share for net proceeds of $107.6 million, after underwriting discounts and commissions and estimated offering costs (the "January 2026 Offering"). The January 2026 Offering included a 30-day option for the underwriters to purchase up to 884,615 additional shares.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2026, the Company issued 884,615 shares of its common stock upon exercise of the underwriters’ option in the January 2026 Offering, resulting in net proceeds of $16.2 million, net of underwriting discounts and commissions.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(Nos.333-282352 and 333-285980) on Form S-8 and (Nos. 333-290688 and 333-290690) on Form S-3 of our report dated March 24, 2026, with respect to the consolidated financial statements of BioAge Labs,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Kristen Fortney, certify that:</w:t>
      </w:r>
    </w:p>
    <w:p>
      <w:pPr>
        <w:spacing w:after="0" w:line="18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BioAge Labs,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Kristen Fortney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Kristen Fortney,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 14(a) OF THE SECURITIES EXCHANGE ACT OF 1934,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Dov Goldstein, certify that:</w:t>
      </w:r>
    </w:p>
    <w:p>
      <w:pPr>
        <w:spacing w:after="0" w:line="18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BioAge Labs,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 Kristen Fortney, Chief Executive Officer of BioAge Labs,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920" w:right="680" w:hanging="912"/>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20" w:right="720" w:hanging="912"/>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Kristen Fortney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26403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Kristen Fortney, Ph.D.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 Dov Goldstein, Chief Financial Officer of BioAge Labs,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920" w:right="680" w:hanging="912"/>
        <w:spacing w:after="0" w:line="282" w:lineRule="auto"/>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20" w:right="720" w:hanging="912"/>
        <w:spacing w:after="0" w:line="282" w:lineRule="auto"/>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26403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226" Type="http://schemas.openxmlformats.org/officeDocument/2006/relationships/hyperlink" Target="https://www.sec.gov/Archives/edgar/data/1709941/000095017024123445/bioa-ex3_1.htm" TargetMode="External"/><Relationship Id="rId227" Type="http://schemas.openxmlformats.org/officeDocument/2006/relationships/hyperlink" Target="https://www.sec.gov/Archives/edgar/data/1709941/000095017024123445/bioa-ex3_2.htm" TargetMode="External"/><Relationship Id="rId228" Type="http://schemas.openxmlformats.org/officeDocument/2006/relationships/hyperlink" Target="https://www.sec.gov/Archives/edgar/data/1709941/000119312524212046/d835745dex41.htm" TargetMode="External"/><Relationship Id="rId229" Type="http://schemas.openxmlformats.org/officeDocument/2006/relationships/hyperlink" Target="https://www.sec.gov/Archives/edgar/data/1709941/000119312524212046/d835745dex44.htm" TargetMode="External"/><Relationship Id="rId230" Type="http://schemas.openxmlformats.org/officeDocument/2006/relationships/hyperlink" Target="https://www.sec.gov/Archives/edgar/data/1709941/000095017025042759/bioa-ex4_3.htm" TargetMode="External"/><Relationship Id="rId231" Type="http://schemas.openxmlformats.org/officeDocument/2006/relationships/hyperlink" Target="https://www.sec.gov/Archives/edgar/data/1709941/000119312524221367/d835745dex101.htm" TargetMode="External"/><Relationship Id="rId232" Type="http://schemas.openxmlformats.org/officeDocument/2006/relationships/hyperlink" Target="https://www.sec.gov/Archives/edgar/data/1709941/000095017025042759/bioa-ex10_2.htm" TargetMode="External"/><Relationship Id="rId233" Type="http://schemas.openxmlformats.org/officeDocument/2006/relationships/hyperlink" Target="https://www.sec.gov/Archives/edgar/data/1709941/000119312524221367/d835745dex104.htm" TargetMode="External"/><Relationship Id="rId234" Type="http://schemas.openxmlformats.org/officeDocument/2006/relationships/hyperlink" Target="https://www.sec.gov/Archives/edgar/data/1709941/000119312524221367/d835745dex105.htm" TargetMode="External"/><Relationship Id="rId235" Type="http://schemas.openxmlformats.org/officeDocument/2006/relationships/hyperlink" Target="https://www.sec.gov/Archives/edgar/data/1709941/000119312524221367/d835745dex1010.htm" TargetMode="External"/><Relationship Id="rId236" Type="http://schemas.openxmlformats.org/officeDocument/2006/relationships/hyperlink" Target="https://www.sec.gov/Archives/edgar/data/1709941/000119312524221367/d835745dex1011.htm" TargetMode="External"/><Relationship Id="rId237" Type="http://schemas.openxmlformats.org/officeDocument/2006/relationships/hyperlink" Target="https://www.sec.gov/Archives/edgar/data/1709941/000119312524221367/d835745dex1012.htm" TargetMode="External"/><Relationship Id="rId238" Type="http://schemas.openxmlformats.org/officeDocument/2006/relationships/hyperlink" Target="https://www.sec.gov/Archives/edgar/data/1709941/000095017024123445/bioa-ex10_9.htm" TargetMode="External"/><Relationship Id="rId239" Type="http://schemas.openxmlformats.org/officeDocument/2006/relationships/hyperlink" Target="https://www.sec.gov/Archives/edgar/data/1709941/000095017025042759/bioa-ex10_10.htm" TargetMode="External"/><Relationship Id="rId240" Type="http://schemas.openxmlformats.org/officeDocument/2006/relationships/hyperlink" Target="https://www.sec.gov/Archives/edgar/data/1709941/000119312525228414/bioa-ex1_2.htm" TargetMode="External"/><Relationship Id="rId241" Type="http://schemas.openxmlformats.org/officeDocument/2006/relationships/hyperlink" Target="https://www.sec.gov/Archives/edgar/data/1709941/000095017025042759/bioa-ex19_1.htm" TargetMode="External"/><Relationship Id="rId242" Type="http://schemas.openxmlformats.org/officeDocument/2006/relationships/hyperlink" Target="https://www.sec.gov/Archives/edgar/data/1709941/000095017025042759/bioa-ex21_1.htm" TargetMode="External"/><Relationship Id="rId245" Type="http://schemas.openxmlformats.org/officeDocument/2006/relationships/hyperlink" Target="https://www.sec.gov/Archives/edgar/data/1709941/000095017025042759/bio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2026-03-24T08:22:23Z</dcterms:created>
  <dcterms:modified xsi:type="dcterms:W3CDTF">2026-03-24T08:22:23Z</dcterms:modified>
</cp:coreProperties>
</file>