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25.jpeg" ContentType="image/jpeg"/>
  <Override PartName="/word/media/image48.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35745d424b4.htm"/>
        <w:bookmarkStart w:id="1" w:name="ksd835745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424(b)(4) </w:t>
        <w:br/>
        <w:t xml:space="preserve">Registration Nos. 281901 and 282334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11,000,000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5170" cy="3409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5170" cy="3409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This is the initial public offering of shares of common stock of BioAge Labs, Inc.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11,000,000 shares of our common stock. Prior to this offering, there has been no public market for our common stock. The initial public offering price is $18.00 per share. We have been approved to list our common stock on the Nasdaq Global Select Market under the symbol BIOA. </w:t>
      </w:r>
    </w:p>
    <w:p>
      <w:pPr>
        <w:pStyle w:val="TextBody"/>
        <w:bidi w:val="0"/>
        <w:spacing w:before="240" w:after="0"/>
        <w:jc w:val="both"/>
        <w:rPr>
          <w:rFonts w:ascii="Times New Roman" w:hAnsi="Times New Roman"/>
          <w:sz w:val="20"/>
        </w:rPr>
      </w:pPr>
      <w:r>
        <w:rPr>
          <w:rFonts w:ascii="Times New Roman" w:hAnsi="Times New Roman"/>
          <w:sz w:val="20"/>
        </w:rPr>
        <w:t xml:space="preserve">We are an emerging growth company and a smaller reporting company as defined under the federal securities laws and, as such, have elected to comply with certain reduced reporting requirements in this prospectus and may elect to do so in future filings.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pPr>
      <w:r>
        <w:rPr>
          <w:rFonts w:ascii="Times New Roman" w:hAnsi="Times New Roman"/>
          <w:b/>
          <w:sz w:val="20"/>
        </w:rPr>
        <w:t>Investing in our common stock involves a high degree of risk. See the section titled </w:t>
      </w:r>
      <w:hyperlink w:anchor="toc835745_2">
        <w:r>
          <w:rPr>
            <w:rStyle w:val="InternetLink"/>
            <w:rFonts w:ascii="Times New Roman" w:hAnsi="Times New Roman"/>
            <w:b/>
            <w:sz w:val="20"/>
          </w:rPr>
          <w:t>Risk Factors</w:t>
        </w:r>
      </w:hyperlink>
      <w:r>
        <w:rPr>
          <w:rFonts w:ascii="Times New Roman" w:hAnsi="Times New Roman"/>
          <w:b/>
          <w:sz w:val="20"/>
        </w:rPr>
        <w:t xml:space="preserve"> beginning on page 17.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13"/>
        <w:gridCol w:w="227"/>
        <w:gridCol w:w="147"/>
        <w:gridCol w:w="592"/>
        <w:gridCol w:w="60"/>
        <w:gridCol w:w="227"/>
        <w:gridCol w:w="147"/>
        <w:gridCol w:w="1227"/>
        <w:gridCol w:w="65"/>
      </w:tblGrid>
      <w:tr>
        <w:trPr/>
        <w:tc>
          <w:tcPr>
            <w:tcW w:w="7513"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51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7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2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2" w:type="dxa"/>
            <w:tcBorders/>
            <w:shd w:fill="CCEEFF" w:val="clear"/>
            <w:vAlign w:val="bottom"/>
          </w:tcPr>
          <w:p>
            <w:pPr>
              <w:pStyle w:val="TableContents"/>
              <w:bidi w:val="0"/>
              <w:spacing w:before="0" w:after="283"/>
              <w:jc w:val="right"/>
              <w:rPr/>
            </w:pPr>
            <w:r>
              <w:rPr/>
              <w:t>18.00</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198,000,000</w:t>
            </w:r>
          </w:p>
        </w:tc>
        <w:tc>
          <w:tcPr>
            <w:tcW w:w="65" w:type="dxa"/>
            <w:tcBorders/>
            <w:shd w:fill="CCEEFF" w:val="clear"/>
            <w:vAlign w:val="bottom"/>
          </w:tcPr>
          <w:p>
            <w:pPr>
              <w:pStyle w:val="TableContents"/>
              <w:bidi w:val="0"/>
              <w:spacing w:before="0" w:after="283"/>
              <w:jc w:val="left"/>
              <w:rPr/>
            </w:pPr>
            <w:r>
              <w:rPr/>
              <w:t> </w:t>
            </w:r>
          </w:p>
        </w:tc>
      </w:tr>
      <w:tr>
        <w:trPr/>
        <w:tc>
          <w:tcPr>
            <w:tcW w:w="751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22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92"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13,860,000</w:t>
            </w:r>
          </w:p>
        </w:tc>
        <w:tc>
          <w:tcPr>
            <w:tcW w:w="65" w:type="dxa"/>
            <w:tcBorders/>
            <w:vAlign w:val="bottom"/>
          </w:tcPr>
          <w:p>
            <w:pPr>
              <w:pStyle w:val="TableContents"/>
              <w:bidi w:val="0"/>
              <w:spacing w:before="0" w:after="283"/>
              <w:jc w:val="left"/>
              <w:rPr/>
            </w:pPr>
            <w:r>
              <w:rPr/>
              <w:t> </w:t>
            </w:r>
          </w:p>
        </w:tc>
      </w:tr>
      <w:tr>
        <w:trPr/>
        <w:tc>
          <w:tcPr>
            <w:tcW w:w="7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2" w:type="dxa"/>
            <w:tcBorders/>
            <w:shd w:fill="CCEEFF" w:val="clear"/>
            <w:vAlign w:val="bottom"/>
          </w:tcPr>
          <w:p>
            <w:pPr>
              <w:pStyle w:val="TableContents"/>
              <w:bidi w:val="0"/>
              <w:spacing w:before="0" w:after="283"/>
              <w:jc w:val="right"/>
              <w:rPr/>
            </w:pPr>
            <w:r>
              <w:rPr/>
              <w:t>16.74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184,140,000</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the section titled Underwriting for additional disclosure regarding the estimated underwriting discounts and commissions and estimated offering expenses.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granted the underwriters an option for a period of 30 days to purchase up to 1,650,000 additional shares of common stock at the initial public offering price, less the underwriting discounts and commissions. </w:t>
      </w:r>
    </w:p>
    <w:p>
      <w:pPr>
        <w:pStyle w:val="TextBody"/>
        <w:bidi w:val="0"/>
        <w:spacing w:before="240" w:after="0"/>
        <w:jc w:val="both"/>
        <w:rPr>
          <w:rFonts w:ascii="Times New Roman" w:hAnsi="Times New Roman"/>
          <w:sz w:val="20"/>
        </w:rPr>
      </w:pPr>
      <w:r>
        <w:rPr>
          <w:rFonts w:ascii="Times New Roman" w:hAnsi="Times New Roman"/>
          <w:sz w:val="20"/>
        </w:rPr>
        <w:t xml:space="preserve">Sofinnova Venture Partners, XI, L.P., an existing stockholder, has agreed to purchase approximately $10.6 million in shares of our common stock in a concurrent private placement exempt from the registration requirements of the Securities Act of 1933, as amended, at a per share price equal to the initial public offering price of $18.00 per share (588,888 shares). The private placement will close concurrently with, and is contingent and conditioned upon consummation of, this offering, as well as certain other customary closing conditions. However, this offering is not contingent on the closing of the concurrent private placement. The underwriters have agreed to act as placement agents in connection with the concurrent private placement and will receive a placement agent fee equal to 7.0% of the total purchase price of the private placement shares. In addition, affiliates of Sofinnova Venture Partners, XI, L.P. are expected to invest up to $1.4 million directly in the public offering.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expect to deliver the shares against payment in New York, New York on September 27, 2024. </w:t>
      </w:r>
    </w:p>
    <w:p>
      <w:pPr>
        <w:pStyle w:val="TextBody"/>
        <w:bidi w:val="0"/>
        <w:spacing w:before="240" w:after="0"/>
        <w:jc w:val="both"/>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6"/>
        <w:gridCol w:w="102"/>
        <w:gridCol w:w="2755"/>
        <w:gridCol w:w="102"/>
        <w:gridCol w:w="1837"/>
        <w:gridCol w:w="102"/>
        <w:gridCol w:w="1531"/>
      </w:tblGrid>
      <w:tr>
        <w:trPr/>
        <w:tc>
          <w:tcPr>
            <w:tcW w:w="377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776" w:type="dxa"/>
            <w:tcBorders/>
          </w:tcPr>
          <w:p>
            <w:pPr>
              <w:pStyle w:val="TableContents"/>
              <w:bidi w:val="0"/>
              <w:spacing w:before="0" w:after="283"/>
              <w:jc w:val="left"/>
              <w:rPr>
                <w:b/>
              </w:rPr>
            </w:pPr>
            <w:r>
              <w:rPr>
                <w:b/>
              </w:rPr>
              <w:t>Goldman Sachs &amp; Co. LLC</w:t>
            </w:r>
          </w:p>
        </w:tc>
        <w:tc>
          <w:tcPr>
            <w:tcW w:w="102" w:type="dxa"/>
            <w:tcBorders/>
            <w:vAlign w:val="bottom"/>
          </w:tcPr>
          <w:p>
            <w:pPr>
              <w:pStyle w:val="TableContents"/>
              <w:bidi w:val="0"/>
              <w:spacing w:before="0" w:after="283"/>
              <w:jc w:val="left"/>
              <w:rPr/>
            </w:pPr>
            <w:r>
              <w:rPr/>
              <w:t> </w:t>
            </w:r>
          </w:p>
        </w:tc>
        <w:tc>
          <w:tcPr>
            <w:tcW w:w="2755"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right"/>
              <w:rPr>
                <w:b/>
              </w:rPr>
            </w:pPr>
            <w:r>
              <w:rPr>
                <w:b/>
              </w:rPr>
              <w:t>Citigroup</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September 25,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744982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744982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851"/>
                              <w:gridCol w:w="190"/>
                              <w:gridCol w:w="34"/>
                              <w:gridCol w:w="213"/>
                              <w:gridCol w:w="29"/>
                              <w:gridCol w:w="340"/>
                              <w:gridCol w:w="57"/>
                              <w:gridCol w:w="29"/>
                              <w:gridCol w:w="125"/>
                              <w:gridCol w:w="30"/>
                            </w:tblGrid>
                            <w:tr>
                              <w:trPr/>
                              <w:tc>
                                <w:tcPr>
                                  <w:tcW w:w="385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1">
                                    <w:r>
                                      <w:rPr>
                                        <w:rStyle w:val="InternetLink"/>
                                        <w:rFonts w:ascii="Times New Roman" w:hAnsi="Times New Roman"/>
                                        <w:sz w:val="20"/>
                                      </w:rPr>
                                      <w:t>Prospectus Summary</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2">
                                    <w:r>
                                      <w:rPr>
                                        <w:rStyle w:val="InternetLink"/>
                                        <w:rFonts w:ascii="Times New Roman" w:hAnsi="Times New Roman"/>
                                        <w:sz w:val="20"/>
                                      </w:rPr>
                                      <w:t>Risk Factors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17</w:t>
                                  </w:r>
                                </w:p>
                              </w:tc>
                              <w:tc>
                                <w:tcPr>
                                  <w:tcW w:w="29"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vMerge w:val="restart"/>
                                  <w:tcBorders/>
                                  <w:vAlign w:val="bottom"/>
                                </w:tcPr>
                                <w:p>
                                  <w:pPr>
                                    <w:pStyle w:val="TableContents"/>
                                    <w:bidi w:val="0"/>
                                    <w:spacing w:before="0" w:after="0"/>
                                    <w:jc w:val="left"/>
                                    <w:rPr/>
                                  </w:pPr>
                                  <w:hyperlink w:anchor="toc835745_3">
                                    <w:r>
                                      <w:rPr>
                                        <w:rStyle w:val="InternetLink"/>
                                        <w:rFonts w:ascii="Times New Roman" w:hAnsi="Times New Roman"/>
                                        <w:sz w:val="20"/>
                                      </w:rPr>
                                      <w:t>Special Note Regarding Forward Looking Statements</w:t>
                                    </w:r>
                                  </w:hyperlink>
                                </w:p>
                              </w:tc>
                              <w:tc>
                                <w:tcPr>
                                  <w:tcW w:w="190" w:type="dxa"/>
                                  <w:vMerge w:val="restart"/>
                                  <w:tcBorders/>
                                  <w:vAlign w:val="bottom"/>
                                </w:tcPr>
                                <w:p>
                                  <w:pPr>
                                    <w:pStyle w:val="TableContents"/>
                                    <w:bidi w:val="0"/>
                                    <w:spacing w:before="0" w:after="283"/>
                                    <w:jc w:val="left"/>
                                    <w:rPr/>
                                  </w:pPr>
                                  <w:r>
                                    <w:rPr/>
                                    <w:t>  </w:t>
                                  </w:r>
                                </w:p>
                              </w:tc>
                              <w:tc>
                                <w:tcPr>
                                  <w:tcW w:w="34" w:type="dxa"/>
                                  <w:vMerge w:val="restart"/>
                                  <w:tcBorders/>
                                  <w:vAlign w:val="bottom"/>
                                </w:tcPr>
                                <w:p>
                                  <w:pPr>
                                    <w:pStyle w:val="TableContents"/>
                                    <w:bidi w:val="0"/>
                                    <w:spacing w:before="0" w:after="283"/>
                                    <w:jc w:val="left"/>
                                    <w:rPr/>
                                  </w:pPr>
                                  <w:r>
                                    <w:rPr/>
                                    <w:t> </w:t>
                                  </w:r>
                                </w:p>
                              </w:tc>
                              <w:tc>
                                <w:tcPr>
                                  <w:tcW w:w="213" w:type="dxa"/>
                                  <w:vMerge w:val="restart"/>
                                  <w:tcBorders/>
                                  <w:vAlign w:val="bottom"/>
                                </w:tcPr>
                                <w:p>
                                  <w:pPr>
                                    <w:pStyle w:val="TableContents"/>
                                    <w:bidi w:val="0"/>
                                    <w:spacing w:before="0" w:after="283"/>
                                    <w:jc w:val="right"/>
                                    <w:rPr/>
                                  </w:pPr>
                                  <w:r>
                                    <w:rPr/>
                                    <w:t>77</w:t>
                                  </w:r>
                                </w:p>
                              </w:tc>
                              <w:tc>
                                <w:tcPr>
                                  <w:tcW w:w="29" w:type="dxa"/>
                                  <w:vMerge w:val="restart"/>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vMerge w:val="continue"/>
                                  <w:tcBorders/>
                                  <w:vAlign w:val="bottom"/>
                                </w:tcPr>
                                <w:p>
                                  <w:pPr>
                                    <w:pStyle w:val="Normal"/>
                                    <w:bidi w:val="0"/>
                                    <w:jc w:val="left"/>
                                    <w:rPr/>
                                  </w:pPr>
                                  <w:r>
                                    <w:rPr/>
                                  </w:r>
                                </w:p>
                              </w:tc>
                              <w:tc>
                                <w:tcPr>
                                  <w:tcW w:w="190" w:type="dxa"/>
                                  <w:vMerge w:val="continue"/>
                                  <w:tcBorders/>
                                  <w:vAlign w:val="bottom"/>
                                </w:tcPr>
                                <w:p>
                                  <w:pPr>
                                    <w:pStyle w:val="Normal"/>
                                    <w:bidi w:val="0"/>
                                    <w:jc w:val="left"/>
                                    <w:rPr/>
                                  </w:pPr>
                                  <w:r>
                                    <w:rPr/>
                                  </w:r>
                                </w:p>
                              </w:tc>
                              <w:tc>
                                <w:tcPr>
                                  <w:tcW w:w="34" w:type="dxa"/>
                                  <w:vMerge w:val="continue"/>
                                  <w:tcBorders/>
                                  <w:vAlign w:val="bottom"/>
                                </w:tcPr>
                                <w:p>
                                  <w:pPr>
                                    <w:pStyle w:val="Normal"/>
                                    <w:bidi w:val="0"/>
                                    <w:jc w:val="left"/>
                                    <w:rPr/>
                                  </w:pPr>
                                  <w:r>
                                    <w:rPr/>
                                  </w:r>
                                </w:p>
                              </w:tc>
                              <w:tc>
                                <w:tcPr>
                                  <w:tcW w:w="213"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340" w:type="dxa"/>
                                  <w:tcBorders/>
                                  <w:vAlign w:val="bottom"/>
                                </w:tcPr>
                                <w:p>
                                  <w:pPr>
                                    <w:pStyle w:val="TableContents"/>
                                    <w:bidi w:val="0"/>
                                    <w:spacing w:before="0" w:after="0"/>
                                    <w:jc w:val="left"/>
                                    <w:rPr/>
                                  </w:pPr>
                                  <w:hyperlink w:anchor="toc835745_4">
                                    <w:r>
                                      <w:rPr>
                                        <w:rStyle w:val="InternetLink"/>
                                        <w:rFonts w:ascii="Times New Roman" w:hAnsi="Times New Roman"/>
                                        <w:sz w:val="20"/>
                                      </w:rPr>
                                      <w:t>Market and Industry Data</w:t>
                                    </w:r>
                                  </w:hyperlink>
                                </w:p>
                              </w:tc>
                              <w:tc>
                                <w:tcPr>
                                  <w:tcW w:w="5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right"/>
                                    <w:rPr/>
                                  </w:pPr>
                                  <w:r>
                                    <w:rPr/>
                                    <w:t>79</w:t>
                                  </w:r>
                                </w:p>
                              </w:tc>
                              <w:tc>
                                <w:tcPr>
                                  <w:tcW w:w="30" w:type="dxa"/>
                                  <w:tcBorders/>
                                  <w:vAlign w:val="bottom"/>
                                </w:tcPr>
                                <w:p>
                                  <w:pPr>
                                    <w:pStyle w:val="TableContents"/>
                                    <w:bidi w:val="0"/>
                                    <w:spacing w:before="0" w:after="283"/>
                                    <w:jc w:val="left"/>
                                    <w:rPr/>
                                  </w:pPr>
                                  <w:r>
                                    <w:rPr/>
                                    <w:t> </w:t>
                                  </w:r>
                                </w:p>
                              </w:tc>
                            </w:tr>
                            <w:tr>
                              <w:trPr/>
                              <w:tc>
                                <w:tcPr>
                                  <w:tcW w:w="3851" w:type="dxa"/>
                                  <w:tcBorders/>
                                  <w:vAlign w:val="bottom"/>
                                </w:tcPr>
                                <w:p>
                                  <w:pPr>
                                    <w:pStyle w:val="TableContents"/>
                                    <w:bidi w:val="0"/>
                                    <w:spacing w:before="0" w:after="0"/>
                                    <w:jc w:val="left"/>
                                    <w:rPr/>
                                  </w:pPr>
                                  <w:hyperlink w:anchor="toc835745_5">
                                    <w:r>
                                      <w:rPr>
                                        <w:rStyle w:val="InternetLink"/>
                                        <w:rFonts w:ascii="Times New Roman" w:hAnsi="Times New Roman"/>
                                        <w:sz w:val="20"/>
                                      </w:rPr>
                                      <w:t>Use of Proceeds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6">
                                    <w:r>
                                      <w:rPr>
                                        <w:rStyle w:val="InternetLink"/>
                                        <w:rFonts w:ascii="Times New Roman" w:hAnsi="Times New Roman"/>
                                        <w:sz w:val="20"/>
                                      </w:rPr>
                                      <w:t>Dividend Policy</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82</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7">
                                    <w:r>
                                      <w:rPr>
                                        <w:rStyle w:val="InternetLink"/>
                                        <w:rFonts w:ascii="Times New Roman" w:hAnsi="Times New Roman"/>
                                        <w:sz w:val="20"/>
                                      </w:rPr>
                                      <w:t>Capitalization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83</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8">
                                    <w:r>
                                      <w:rPr>
                                        <w:rStyle w:val="InternetLink"/>
                                        <w:rFonts w:ascii="Times New Roman" w:hAnsi="Times New Roman"/>
                                        <w:sz w:val="20"/>
                                      </w:rPr>
                                      <w:t>Dilution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85</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9">
                                    <w:r>
                                      <w:rPr>
                                        <w:rStyle w:val="InternetLink"/>
                                        <w:rFonts w:ascii="Times New Roman" w:hAnsi="Times New Roman"/>
                                        <w:sz w:val="20"/>
                                      </w:rPr>
                                      <w:t>Managements Discussion and Analysis of Financial Condition and Results of Operations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88</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10">
                                    <w:r>
                                      <w:rPr>
                                        <w:rStyle w:val="InternetLink"/>
                                        <w:rFonts w:ascii="Times New Roman" w:hAnsi="Times New Roman"/>
                                        <w:sz w:val="20"/>
                                      </w:rPr>
                                      <w:t>Business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108</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11">
                                    <w:r>
                                      <w:rPr>
                                        <w:rStyle w:val="InternetLink"/>
                                        <w:rFonts w:ascii="Times New Roman" w:hAnsi="Times New Roman"/>
                                        <w:sz w:val="20"/>
                                      </w:rPr>
                                      <w:t>Management</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167</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6.6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851"/>
                        <w:gridCol w:w="190"/>
                        <w:gridCol w:w="34"/>
                        <w:gridCol w:w="213"/>
                        <w:gridCol w:w="29"/>
                        <w:gridCol w:w="340"/>
                        <w:gridCol w:w="57"/>
                        <w:gridCol w:w="29"/>
                        <w:gridCol w:w="125"/>
                        <w:gridCol w:w="30"/>
                      </w:tblGrid>
                      <w:tr>
                        <w:trPr/>
                        <w:tc>
                          <w:tcPr>
                            <w:tcW w:w="385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1">
                              <w:r>
                                <w:rPr>
                                  <w:rStyle w:val="InternetLink"/>
                                  <w:rFonts w:ascii="Times New Roman" w:hAnsi="Times New Roman"/>
                                  <w:sz w:val="20"/>
                                </w:rPr>
                                <w:t>Prospectus Summary</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2">
                              <w:r>
                                <w:rPr>
                                  <w:rStyle w:val="InternetLink"/>
                                  <w:rFonts w:ascii="Times New Roman" w:hAnsi="Times New Roman"/>
                                  <w:sz w:val="20"/>
                                </w:rPr>
                                <w:t>Risk Factors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17</w:t>
                            </w:r>
                          </w:p>
                        </w:tc>
                        <w:tc>
                          <w:tcPr>
                            <w:tcW w:w="29"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vMerge w:val="restart"/>
                            <w:tcBorders/>
                            <w:vAlign w:val="bottom"/>
                          </w:tcPr>
                          <w:p>
                            <w:pPr>
                              <w:pStyle w:val="TableContents"/>
                              <w:bidi w:val="0"/>
                              <w:spacing w:before="0" w:after="0"/>
                              <w:jc w:val="left"/>
                              <w:rPr/>
                            </w:pPr>
                            <w:hyperlink w:anchor="toc835745_3">
                              <w:r>
                                <w:rPr>
                                  <w:rStyle w:val="InternetLink"/>
                                  <w:rFonts w:ascii="Times New Roman" w:hAnsi="Times New Roman"/>
                                  <w:sz w:val="20"/>
                                </w:rPr>
                                <w:t>Special Note Regarding Forward Looking Statements</w:t>
                              </w:r>
                            </w:hyperlink>
                          </w:p>
                        </w:tc>
                        <w:tc>
                          <w:tcPr>
                            <w:tcW w:w="190" w:type="dxa"/>
                            <w:vMerge w:val="restart"/>
                            <w:tcBorders/>
                            <w:vAlign w:val="bottom"/>
                          </w:tcPr>
                          <w:p>
                            <w:pPr>
                              <w:pStyle w:val="TableContents"/>
                              <w:bidi w:val="0"/>
                              <w:spacing w:before="0" w:after="283"/>
                              <w:jc w:val="left"/>
                              <w:rPr/>
                            </w:pPr>
                            <w:r>
                              <w:rPr/>
                              <w:t>  </w:t>
                            </w:r>
                          </w:p>
                        </w:tc>
                        <w:tc>
                          <w:tcPr>
                            <w:tcW w:w="34" w:type="dxa"/>
                            <w:vMerge w:val="restart"/>
                            <w:tcBorders/>
                            <w:vAlign w:val="bottom"/>
                          </w:tcPr>
                          <w:p>
                            <w:pPr>
                              <w:pStyle w:val="TableContents"/>
                              <w:bidi w:val="0"/>
                              <w:spacing w:before="0" w:after="283"/>
                              <w:jc w:val="left"/>
                              <w:rPr/>
                            </w:pPr>
                            <w:r>
                              <w:rPr/>
                              <w:t> </w:t>
                            </w:r>
                          </w:p>
                        </w:tc>
                        <w:tc>
                          <w:tcPr>
                            <w:tcW w:w="213" w:type="dxa"/>
                            <w:vMerge w:val="restart"/>
                            <w:tcBorders/>
                            <w:vAlign w:val="bottom"/>
                          </w:tcPr>
                          <w:p>
                            <w:pPr>
                              <w:pStyle w:val="TableContents"/>
                              <w:bidi w:val="0"/>
                              <w:spacing w:before="0" w:after="283"/>
                              <w:jc w:val="right"/>
                              <w:rPr/>
                            </w:pPr>
                            <w:r>
                              <w:rPr/>
                              <w:t>77</w:t>
                            </w:r>
                          </w:p>
                        </w:tc>
                        <w:tc>
                          <w:tcPr>
                            <w:tcW w:w="29" w:type="dxa"/>
                            <w:vMerge w:val="restart"/>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57"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25"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851" w:type="dxa"/>
                            <w:vMerge w:val="continue"/>
                            <w:tcBorders/>
                            <w:vAlign w:val="bottom"/>
                          </w:tcPr>
                          <w:p>
                            <w:pPr>
                              <w:pStyle w:val="Normal"/>
                              <w:bidi w:val="0"/>
                              <w:jc w:val="left"/>
                              <w:rPr/>
                            </w:pPr>
                            <w:r>
                              <w:rPr/>
                            </w:r>
                          </w:p>
                        </w:tc>
                        <w:tc>
                          <w:tcPr>
                            <w:tcW w:w="190" w:type="dxa"/>
                            <w:vMerge w:val="continue"/>
                            <w:tcBorders/>
                            <w:vAlign w:val="bottom"/>
                          </w:tcPr>
                          <w:p>
                            <w:pPr>
                              <w:pStyle w:val="Normal"/>
                              <w:bidi w:val="0"/>
                              <w:jc w:val="left"/>
                              <w:rPr/>
                            </w:pPr>
                            <w:r>
                              <w:rPr/>
                            </w:r>
                          </w:p>
                        </w:tc>
                        <w:tc>
                          <w:tcPr>
                            <w:tcW w:w="34" w:type="dxa"/>
                            <w:vMerge w:val="continue"/>
                            <w:tcBorders/>
                            <w:vAlign w:val="bottom"/>
                          </w:tcPr>
                          <w:p>
                            <w:pPr>
                              <w:pStyle w:val="Normal"/>
                              <w:bidi w:val="0"/>
                              <w:jc w:val="left"/>
                              <w:rPr/>
                            </w:pPr>
                            <w:r>
                              <w:rPr/>
                            </w:r>
                          </w:p>
                        </w:tc>
                        <w:tc>
                          <w:tcPr>
                            <w:tcW w:w="213"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340" w:type="dxa"/>
                            <w:tcBorders/>
                            <w:vAlign w:val="bottom"/>
                          </w:tcPr>
                          <w:p>
                            <w:pPr>
                              <w:pStyle w:val="TableContents"/>
                              <w:bidi w:val="0"/>
                              <w:spacing w:before="0" w:after="0"/>
                              <w:jc w:val="left"/>
                              <w:rPr/>
                            </w:pPr>
                            <w:hyperlink w:anchor="toc835745_4">
                              <w:r>
                                <w:rPr>
                                  <w:rStyle w:val="InternetLink"/>
                                  <w:rFonts w:ascii="Times New Roman" w:hAnsi="Times New Roman"/>
                                  <w:sz w:val="20"/>
                                </w:rPr>
                                <w:t>Market and Industry Data</w:t>
                              </w:r>
                            </w:hyperlink>
                          </w:p>
                        </w:tc>
                        <w:tc>
                          <w:tcPr>
                            <w:tcW w:w="5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right"/>
                              <w:rPr/>
                            </w:pPr>
                            <w:r>
                              <w:rPr/>
                              <w:t>79</w:t>
                            </w:r>
                          </w:p>
                        </w:tc>
                        <w:tc>
                          <w:tcPr>
                            <w:tcW w:w="30" w:type="dxa"/>
                            <w:tcBorders/>
                            <w:vAlign w:val="bottom"/>
                          </w:tcPr>
                          <w:p>
                            <w:pPr>
                              <w:pStyle w:val="TableContents"/>
                              <w:bidi w:val="0"/>
                              <w:spacing w:before="0" w:after="283"/>
                              <w:jc w:val="left"/>
                              <w:rPr/>
                            </w:pPr>
                            <w:r>
                              <w:rPr/>
                              <w:t> </w:t>
                            </w:r>
                          </w:p>
                        </w:tc>
                      </w:tr>
                      <w:tr>
                        <w:trPr/>
                        <w:tc>
                          <w:tcPr>
                            <w:tcW w:w="3851" w:type="dxa"/>
                            <w:tcBorders/>
                            <w:vAlign w:val="bottom"/>
                          </w:tcPr>
                          <w:p>
                            <w:pPr>
                              <w:pStyle w:val="TableContents"/>
                              <w:bidi w:val="0"/>
                              <w:spacing w:before="0" w:after="0"/>
                              <w:jc w:val="left"/>
                              <w:rPr/>
                            </w:pPr>
                            <w:hyperlink w:anchor="toc835745_5">
                              <w:r>
                                <w:rPr>
                                  <w:rStyle w:val="InternetLink"/>
                                  <w:rFonts w:ascii="Times New Roman" w:hAnsi="Times New Roman"/>
                                  <w:sz w:val="20"/>
                                </w:rPr>
                                <w:t>Use of Proceeds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80</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6">
                              <w:r>
                                <w:rPr>
                                  <w:rStyle w:val="InternetLink"/>
                                  <w:rFonts w:ascii="Times New Roman" w:hAnsi="Times New Roman"/>
                                  <w:sz w:val="20"/>
                                </w:rPr>
                                <w:t>Dividend Policy</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82</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7">
                              <w:r>
                                <w:rPr>
                                  <w:rStyle w:val="InternetLink"/>
                                  <w:rFonts w:ascii="Times New Roman" w:hAnsi="Times New Roman"/>
                                  <w:sz w:val="20"/>
                                </w:rPr>
                                <w:t>Capitalization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83</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8">
                              <w:r>
                                <w:rPr>
                                  <w:rStyle w:val="InternetLink"/>
                                  <w:rFonts w:ascii="Times New Roman" w:hAnsi="Times New Roman"/>
                                  <w:sz w:val="20"/>
                                </w:rPr>
                                <w:t>Dilution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85</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9">
                              <w:r>
                                <w:rPr>
                                  <w:rStyle w:val="InternetLink"/>
                                  <w:rFonts w:ascii="Times New Roman" w:hAnsi="Times New Roman"/>
                                  <w:sz w:val="20"/>
                                </w:rPr>
                                <w:t>Managements Discussion and Analysis of Financial Condition and Results of Operations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88</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10">
                              <w:r>
                                <w:rPr>
                                  <w:rStyle w:val="InternetLink"/>
                                  <w:rFonts w:ascii="Times New Roman" w:hAnsi="Times New Roman"/>
                                  <w:sz w:val="20"/>
                                </w:rPr>
                                <w:t>Business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108</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r>
                        <w:trPr/>
                        <w:tc>
                          <w:tcPr>
                            <w:tcW w:w="3851" w:type="dxa"/>
                            <w:tcBorders/>
                            <w:vAlign w:val="bottom"/>
                          </w:tcPr>
                          <w:p>
                            <w:pPr>
                              <w:pStyle w:val="TableContents"/>
                              <w:bidi w:val="0"/>
                              <w:spacing w:before="0" w:after="0"/>
                              <w:jc w:val="left"/>
                              <w:rPr/>
                            </w:pPr>
                            <w:hyperlink w:anchor="toc835745_11">
                              <w:r>
                                <w:rPr>
                                  <w:rStyle w:val="InternetLink"/>
                                  <w:rFonts w:ascii="Times New Roman" w:hAnsi="Times New Roman"/>
                                  <w:sz w:val="20"/>
                                </w:rPr>
                                <w:t>Management</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right"/>
                              <w:rPr/>
                            </w:pPr>
                            <w:r>
                              <w:rPr/>
                              <w:t>167</w:t>
                            </w:r>
                          </w:p>
                        </w:tc>
                        <w:tc>
                          <w:tcPr>
                            <w:tcW w:w="29" w:type="dxa"/>
                            <w:tcBorders/>
                            <w:vAlign w:val="bottom"/>
                          </w:tcPr>
                          <w:p>
                            <w:pPr>
                              <w:pStyle w:val="TableContents"/>
                              <w:bidi w:val="0"/>
                              <w:spacing w:before="0" w:after="283"/>
                              <w:jc w:val="left"/>
                              <w:rPr/>
                            </w:pPr>
                            <w:r>
                              <w:rPr/>
                              <w:t> </w:t>
                            </w:r>
                          </w:p>
                        </w:tc>
                        <w:tc>
                          <w:tcPr>
                            <w:tcW w:w="581"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75000" cy="820864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820864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635"/>
                              <w:gridCol w:w="190"/>
                              <w:gridCol w:w="34"/>
                              <w:gridCol w:w="218"/>
                              <w:gridCol w:w="30"/>
                              <w:gridCol w:w="587"/>
                              <w:gridCol w:w="59"/>
                              <w:gridCol w:w="29"/>
                              <w:gridCol w:w="186"/>
                              <w:gridCol w:w="32"/>
                            </w:tblGrid>
                            <w:tr>
                              <w:trPr/>
                              <w:tc>
                                <w:tcPr>
                                  <w:tcW w:w="363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2">
                                    <w:r>
                                      <w:rPr>
                                        <w:rStyle w:val="InternetLink"/>
                                        <w:rFonts w:ascii="Times New Roman" w:hAnsi="Times New Roman"/>
                                        <w:sz w:val="20"/>
                                      </w:rPr>
                                      <w:t>Executive Compensation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176</w:t>
                                  </w:r>
                                </w:p>
                              </w:tc>
                              <w:tc>
                                <w:tcPr>
                                  <w:tcW w:w="30" w:type="dxa"/>
                                  <w:tcBorders/>
                                  <w:vAlign w:val="bottom"/>
                                </w:tcPr>
                                <w:p>
                                  <w:pPr>
                                    <w:pStyle w:val="TableContents"/>
                                    <w:bidi w:val="0"/>
                                    <w:spacing w:before="0" w:after="283"/>
                                    <w:jc w:val="left"/>
                                    <w:rPr/>
                                  </w:pPr>
                                  <w:r>
                                    <w:rPr/>
                                    <w:t> </w:t>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vMerge w:val="restart"/>
                                  <w:tcBorders/>
                                  <w:vAlign w:val="bottom"/>
                                </w:tcPr>
                                <w:p>
                                  <w:pPr>
                                    <w:pStyle w:val="TableContents"/>
                                    <w:bidi w:val="0"/>
                                    <w:spacing w:before="0" w:after="0"/>
                                    <w:jc w:val="left"/>
                                    <w:rPr/>
                                  </w:pPr>
                                  <w:hyperlink w:anchor="toc835745_13">
                                    <w:r>
                                      <w:rPr>
                                        <w:rStyle w:val="InternetLink"/>
                                        <w:rFonts w:ascii="Times New Roman" w:hAnsi="Times New Roman"/>
                                        <w:sz w:val="20"/>
                                      </w:rPr>
                                      <w:t>Certain Relationships and Related Party Transactions</w:t>
                                    </w:r>
                                  </w:hyperlink>
                                </w:p>
                              </w:tc>
                              <w:tc>
                                <w:tcPr>
                                  <w:tcW w:w="190" w:type="dxa"/>
                                  <w:vMerge w:val="restart"/>
                                  <w:tcBorders/>
                                  <w:vAlign w:val="bottom"/>
                                </w:tcPr>
                                <w:p>
                                  <w:pPr>
                                    <w:pStyle w:val="TableContents"/>
                                    <w:bidi w:val="0"/>
                                    <w:spacing w:before="0" w:after="283"/>
                                    <w:jc w:val="left"/>
                                    <w:rPr/>
                                  </w:pPr>
                                  <w:r>
                                    <w:rPr/>
                                    <w:t>  </w:t>
                                  </w:r>
                                </w:p>
                              </w:tc>
                              <w:tc>
                                <w:tcPr>
                                  <w:tcW w:w="34" w:type="dxa"/>
                                  <w:vMerge w:val="restart"/>
                                  <w:tcBorders/>
                                  <w:vAlign w:val="bottom"/>
                                </w:tcPr>
                                <w:p>
                                  <w:pPr>
                                    <w:pStyle w:val="TableContents"/>
                                    <w:bidi w:val="0"/>
                                    <w:spacing w:before="0" w:after="283"/>
                                    <w:jc w:val="left"/>
                                    <w:rPr/>
                                  </w:pPr>
                                  <w:r>
                                    <w:rPr/>
                                    <w:t> </w:t>
                                  </w:r>
                                </w:p>
                              </w:tc>
                              <w:tc>
                                <w:tcPr>
                                  <w:tcW w:w="218" w:type="dxa"/>
                                  <w:vMerge w:val="restart"/>
                                  <w:tcBorders/>
                                  <w:vAlign w:val="bottom"/>
                                </w:tcPr>
                                <w:p>
                                  <w:pPr>
                                    <w:pStyle w:val="TableContents"/>
                                    <w:bidi w:val="0"/>
                                    <w:spacing w:before="0" w:after="283"/>
                                    <w:jc w:val="right"/>
                                    <w:rPr/>
                                  </w:pPr>
                                  <w:r>
                                    <w:rPr/>
                                    <w:t>190</w:t>
                                  </w:r>
                                </w:p>
                              </w:tc>
                              <w:tc>
                                <w:tcPr>
                                  <w:tcW w:w="30" w:type="dxa"/>
                                  <w:vMerge w:val="restart"/>
                                  <w:tcBorders/>
                                  <w:vAlign w:val="bottom"/>
                                </w:tcPr>
                                <w:p>
                                  <w:pPr>
                                    <w:pStyle w:val="TableContents"/>
                                    <w:bidi w:val="0"/>
                                    <w:spacing w:before="0" w:after="283"/>
                                    <w:jc w:val="left"/>
                                    <w:rPr/>
                                  </w:pPr>
                                  <w:r>
                                    <w:rPr/>
                                    <w:t> </w:t>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vMerge w:val="continue"/>
                                  <w:tcBorders/>
                                  <w:vAlign w:val="bottom"/>
                                </w:tcPr>
                                <w:p>
                                  <w:pPr>
                                    <w:pStyle w:val="Normal"/>
                                    <w:bidi w:val="0"/>
                                    <w:jc w:val="left"/>
                                    <w:rPr/>
                                  </w:pPr>
                                  <w:r>
                                    <w:rPr/>
                                  </w:r>
                                </w:p>
                              </w:tc>
                              <w:tc>
                                <w:tcPr>
                                  <w:tcW w:w="190" w:type="dxa"/>
                                  <w:vMerge w:val="continue"/>
                                  <w:tcBorders/>
                                  <w:vAlign w:val="bottom"/>
                                </w:tcPr>
                                <w:p>
                                  <w:pPr>
                                    <w:pStyle w:val="Normal"/>
                                    <w:bidi w:val="0"/>
                                    <w:jc w:val="left"/>
                                    <w:rPr/>
                                  </w:pPr>
                                  <w:r>
                                    <w:rPr/>
                                  </w:r>
                                </w:p>
                              </w:tc>
                              <w:tc>
                                <w:tcPr>
                                  <w:tcW w:w="34" w:type="dxa"/>
                                  <w:vMerge w:val="continue"/>
                                  <w:tcBorders/>
                                  <w:vAlign w:val="bottom"/>
                                </w:tcPr>
                                <w:p>
                                  <w:pPr>
                                    <w:pStyle w:val="Normal"/>
                                    <w:bidi w:val="0"/>
                                    <w:jc w:val="left"/>
                                    <w:rPr/>
                                  </w:pPr>
                                  <w:r>
                                    <w:rPr/>
                                  </w:r>
                                </w:p>
                              </w:tc>
                              <w:tc>
                                <w:tcPr>
                                  <w:tcW w:w="218" w:type="dxa"/>
                                  <w:vMerge w:val="continue"/>
                                  <w:tcBorders/>
                                  <w:vAlign w:val="bottom"/>
                                </w:tcPr>
                                <w:p>
                                  <w:pPr>
                                    <w:pStyle w:val="Normal"/>
                                    <w:bidi w:val="0"/>
                                    <w:jc w:val="left"/>
                                    <w:rPr/>
                                  </w:pPr>
                                  <w:r>
                                    <w:rPr/>
                                  </w:r>
                                </w:p>
                              </w:tc>
                              <w:tc>
                                <w:tcPr>
                                  <w:tcW w:w="30" w:type="dxa"/>
                                  <w:vMerge w:val="continue"/>
                                  <w:tcBorders/>
                                  <w:vAlign w:val="bottom"/>
                                </w:tcPr>
                                <w:p>
                                  <w:pPr>
                                    <w:pStyle w:val="Normal"/>
                                    <w:bidi w:val="0"/>
                                    <w:jc w:val="left"/>
                                    <w:rPr/>
                                  </w:pPr>
                                  <w:r>
                                    <w:rPr/>
                                  </w:r>
                                </w:p>
                              </w:tc>
                              <w:tc>
                                <w:tcPr>
                                  <w:tcW w:w="587" w:type="dxa"/>
                                  <w:tcBorders/>
                                  <w:vAlign w:val="bottom"/>
                                </w:tcPr>
                                <w:p>
                                  <w:pPr>
                                    <w:pStyle w:val="TableContents"/>
                                    <w:bidi w:val="0"/>
                                    <w:spacing w:before="0" w:after="0"/>
                                    <w:jc w:val="left"/>
                                    <w:rPr/>
                                  </w:pPr>
                                  <w:hyperlink w:anchor="toc835745_14">
                                    <w:r>
                                      <w:rPr>
                                        <w:rStyle w:val="InternetLink"/>
                                        <w:rFonts w:ascii="Times New Roman" w:hAnsi="Times New Roman"/>
                                        <w:sz w:val="20"/>
                                      </w:rPr>
                                      <w:t>Principal Stockholders</w:t>
                                    </w:r>
                                  </w:hyperlink>
                                </w:p>
                              </w:tc>
                              <w:tc>
                                <w:tcPr>
                                  <w:tcW w:w="5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right"/>
                                    <w:rPr/>
                                  </w:pPr>
                                  <w:r>
                                    <w:rPr/>
                                    <w:t>193</w:t>
                                  </w:r>
                                </w:p>
                              </w:tc>
                              <w:tc>
                                <w:tcPr>
                                  <w:tcW w:w="32" w:type="dxa"/>
                                  <w:tcBorders/>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0"/>
                                    <w:jc w:val="left"/>
                                    <w:rPr/>
                                  </w:pPr>
                                  <w:hyperlink w:anchor="toc835745_15">
                                    <w:r>
                                      <w:rPr>
                                        <w:rStyle w:val="InternetLink"/>
                                        <w:rFonts w:ascii="Times New Roman" w:hAnsi="Times New Roman"/>
                                        <w:sz w:val="20"/>
                                      </w:rPr>
                                      <w:t>Description of Capital Stock</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196</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6">
                                    <w:r>
                                      <w:rPr>
                                        <w:rStyle w:val="InternetLink"/>
                                        <w:rFonts w:ascii="Times New Roman" w:hAnsi="Times New Roman"/>
                                        <w:sz w:val="20"/>
                                      </w:rPr>
                                      <w:t>Shares Eligible for Future Sale</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203</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7">
                                    <w:r>
                                      <w:rPr>
                                        <w:rStyle w:val="InternetLink"/>
                                        <w:rFonts w:ascii="Times New Roman" w:hAnsi="Times New Roman"/>
                                        <w:sz w:val="20"/>
                                      </w:rPr>
                                      <w:t>Material U.S. Federal Income Tax Consequences to Non-U.S. Holders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206</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8">
                                    <w:r>
                                      <w:rPr>
                                        <w:rStyle w:val="InternetLink"/>
                                        <w:rFonts w:ascii="Times New Roman" w:hAnsi="Times New Roman"/>
                                        <w:sz w:val="20"/>
                                      </w:rPr>
                                      <w:t>Underwriting</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211</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9">
                                    <w:r>
                                      <w:rPr>
                                        <w:rStyle w:val="InternetLink"/>
                                        <w:rFonts w:ascii="Times New Roman" w:hAnsi="Times New Roman"/>
                                        <w:sz w:val="20"/>
                                      </w:rPr>
                                      <w:t>Legal Matters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20">
                                    <w:r>
                                      <w:rPr>
                                        <w:rStyle w:val="InternetLink"/>
                                        <w:rFonts w:ascii="Times New Roman" w:hAnsi="Times New Roman"/>
                                        <w:sz w:val="20"/>
                                      </w:rPr>
                                      <w:t>Experts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21">
                                    <w:r>
                                      <w:rPr>
                                        <w:rStyle w:val="InternetLink"/>
                                        <w:rFonts w:ascii="Times New Roman" w:hAnsi="Times New Roman"/>
                                        <w:sz w:val="20"/>
                                      </w:rPr>
                                      <w:t>Where You Can Find Additional Information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22">
                                    <w:r>
                                      <w:rPr>
                                        <w:rStyle w:val="InternetLink"/>
                                        <w:rFonts w:ascii="Times New Roman" w:hAnsi="Times New Roman"/>
                                        <w:sz w:val="20"/>
                                      </w:rPr>
                                      <w:t>Index to Consolidated Financial Statements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6.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635"/>
                        <w:gridCol w:w="190"/>
                        <w:gridCol w:w="34"/>
                        <w:gridCol w:w="218"/>
                        <w:gridCol w:w="30"/>
                        <w:gridCol w:w="587"/>
                        <w:gridCol w:w="59"/>
                        <w:gridCol w:w="29"/>
                        <w:gridCol w:w="186"/>
                        <w:gridCol w:w="32"/>
                      </w:tblGrid>
                      <w:tr>
                        <w:trPr/>
                        <w:tc>
                          <w:tcPr>
                            <w:tcW w:w="363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2">
                              <w:r>
                                <w:rPr>
                                  <w:rStyle w:val="InternetLink"/>
                                  <w:rFonts w:ascii="Times New Roman" w:hAnsi="Times New Roman"/>
                                  <w:sz w:val="20"/>
                                </w:rPr>
                                <w:t>Executive Compensation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176</w:t>
                            </w:r>
                          </w:p>
                        </w:tc>
                        <w:tc>
                          <w:tcPr>
                            <w:tcW w:w="30" w:type="dxa"/>
                            <w:tcBorders/>
                            <w:vAlign w:val="bottom"/>
                          </w:tcPr>
                          <w:p>
                            <w:pPr>
                              <w:pStyle w:val="TableContents"/>
                              <w:bidi w:val="0"/>
                              <w:spacing w:before="0" w:after="283"/>
                              <w:jc w:val="left"/>
                              <w:rPr/>
                            </w:pPr>
                            <w:r>
                              <w:rPr/>
                              <w:t> </w:t>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vMerge w:val="restart"/>
                            <w:tcBorders/>
                            <w:vAlign w:val="bottom"/>
                          </w:tcPr>
                          <w:p>
                            <w:pPr>
                              <w:pStyle w:val="TableContents"/>
                              <w:bidi w:val="0"/>
                              <w:spacing w:before="0" w:after="0"/>
                              <w:jc w:val="left"/>
                              <w:rPr/>
                            </w:pPr>
                            <w:hyperlink w:anchor="toc835745_13">
                              <w:r>
                                <w:rPr>
                                  <w:rStyle w:val="InternetLink"/>
                                  <w:rFonts w:ascii="Times New Roman" w:hAnsi="Times New Roman"/>
                                  <w:sz w:val="20"/>
                                </w:rPr>
                                <w:t>Certain Relationships and Related Party Transactions</w:t>
                              </w:r>
                            </w:hyperlink>
                          </w:p>
                        </w:tc>
                        <w:tc>
                          <w:tcPr>
                            <w:tcW w:w="190" w:type="dxa"/>
                            <w:vMerge w:val="restart"/>
                            <w:tcBorders/>
                            <w:vAlign w:val="bottom"/>
                          </w:tcPr>
                          <w:p>
                            <w:pPr>
                              <w:pStyle w:val="TableContents"/>
                              <w:bidi w:val="0"/>
                              <w:spacing w:before="0" w:after="283"/>
                              <w:jc w:val="left"/>
                              <w:rPr/>
                            </w:pPr>
                            <w:r>
                              <w:rPr/>
                              <w:t>  </w:t>
                            </w:r>
                          </w:p>
                        </w:tc>
                        <w:tc>
                          <w:tcPr>
                            <w:tcW w:w="34" w:type="dxa"/>
                            <w:vMerge w:val="restart"/>
                            <w:tcBorders/>
                            <w:vAlign w:val="bottom"/>
                          </w:tcPr>
                          <w:p>
                            <w:pPr>
                              <w:pStyle w:val="TableContents"/>
                              <w:bidi w:val="0"/>
                              <w:spacing w:before="0" w:after="283"/>
                              <w:jc w:val="left"/>
                              <w:rPr/>
                            </w:pPr>
                            <w:r>
                              <w:rPr/>
                              <w:t> </w:t>
                            </w:r>
                          </w:p>
                        </w:tc>
                        <w:tc>
                          <w:tcPr>
                            <w:tcW w:w="218" w:type="dxa"/>
                            <w:vMerge w:val="restart"/>
                            <w:tcBorders/>
                            <w:vAlign w:val="bottom"/>
                          </w:tcPr>
                          <w:p>
                            <w:pPr>
                              <w:pStyle w:val="TableContents"/>
                              <w:bidi w:val="0"/>
                              <w:spacing w:before="0" w:after="283"/>
                              <w:jc w:val="right"/>
                              <w:rPr/>
                            </w:pPr>
                            <w:r>
                              <w:rPr/>
                              <w:t>190</w:t>
                            </w:r>
                          </w:p>
                        </w:tc>
                        <w:tc>
                          <w:tcPr>
                            <w:tcW w:w="30" w:type="dxa"/>
                            <w:vMerge w:val="restart"/>
                            <w:tcBorders/>
                            <w:vAlign w:val="bottom"/>
                          </w:tcPr>
                          <w:p>
                            <w:pPr>
                              <w:pStyle w:val="TableContents"/>
                              <w:bidi w:val="0"/>
                              <w:spacing w:before="0" w:after="283"/>
                              <w:jc w:val="left"/>
                              <w:rPr/>
                            </w:pPr>
                            <w:r>
                              <w:rPr/>
                              <w:t> </w:t>
                            </w:r>
                          </w:p>
                        </w:tc>
                        <w:tc>
                          <w:tcPr>
                            <w:tcW w:w="58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186" w:type="dxa"/>
                            <w:tcBorders/>
                          </w:tcPr>
                          <w:p>
                            <w:pPr>
                              <w:pStyle w:val="TableContents"/>
                              <w:bidi w:val="0"/>
                              <w:spacing w:before="0" w:after="283"/>
                              <w:jc w:val="left"/>
                              <w:rPr>
                                <w:sz w:val="4"/>
                                <w:szCs w:val="4"/>
                              </w:rPr>
                            </w:pPr>
                            <w:r>
                              <w:rPr>
                                <w:sz w:val="4"/>
                                <w:szCs w:val="4"/>
                              </w:rPr>
                            </w:r>
                          </w:p>
                        </w:tc>
                        <w:tc>
                          <w:tcPr>
                            <w:tcW w:w="32" w:type="dxa"/>
                            <w:tcBorders/>
                          </w:tcPr>
                          <w:p>
                            <w:pPr>
                              <w:pStyle w:val="TableContents"/>
                              <w:bidi w:val="0"/>
                              <w:spacing w:before="0" w:after="283"/>
                              <w:jc w:val="left"/>
                              <w:rPr>
                                <w:sz w:val="4"/>
                                <w:szCs w:val="4"/>
                              </w:rPr>
                            </w:pPr>
                            <w:r>
                              <w:rPr>
                                <w:sz w:val="4"/>
                                <w:szCs w:val="4"/>
                              </w:rPr>
                            </w:r>
                          </w:p>
                        </w:tc>
                      </w:tr>
                      <w:tr>
                        <w:trPr/>
                        <w:tc>
                          <w:tcPr>
                            <w:tcW w:w="3635" w:type="dxa"/>
                            <w:vMerge w:val="continue"/>
                            <w:tcBorders/>
                            <w:vAlign w:val="bottom"/>
                          </w:tcPr>
                          <w:p>
                            <w:pPr>
                              <w:pStyle w:val="Normal"/>
                              <w:bidi w:val="0"/>
                              <w:jc w:val="left"/>
                              <w:rPr/>
                            </w:pPr>
                            <w:r>
                              <w:rPr/>
                            </w:r>
                          </w:p>
                        </w:tc>
                        <w:tc>
                          <w:tcPr>
                            <w:tcW w:w="190" w:type="dxa"/>
                            <w:vMerge w:val="continue"/>
                            <w:tcBorders/>
                            <w:vAlign w:val="bottom"/>
                          </w:tcPr>
                          <w:p>
                            <w:pPr>
                              <w:pStyle w:val="Normal"/>
                              <w:bidi w:val="0"/>
                              <w:jc w:val="left"/>
                              <w:rPr/>
                            </w:pPr>
                            <w:r>
                              <w:rPr/>
                            </w:r>
                          </w:p>
                        </w:tc>
                        <w:tc>
                          <w:tcPr>
                            <w:tcW w:w="34" w:type="dxa"/>
                            <w:vMerge w:val="continue"/>
                            <w:tcBorders/>
                            <w:vAlign w:val="bottom"/>
                          </w:tcPr>
                          <w:p>
                            <w:pPr>
                              <w:pStyle w:val="Normal"/>
                              <w:bidi w:val="0"/>
                              <w:jc w:val="left"/>
                              <w:rPr/>
                            </w:pPr>
                            <w:r>
                              <w:rPr/>
                            </w:r>
                          </w:p>
                        </w:tc>
                        <w:tc>
                          <w:tcPr>
                            <w:tcW w:w="218" w:type="dxa"/>
                            <w:vMerge w:val="continue"/>
                            <w:tcBorders/>
                            <w:vAlign w:val="bottom"/>
                          </w:tcPr>
                          <w:p>
                            <w:pPr>
                              <w:pStyle w:val="Normal"/>
                              <w:bidi w:val="0"/>
                              <w:jc w:val="left"/>
                              <w:rPr/>
                            </w:pPr>
                            <w:r>
                              <w:rPr/>
                            </w:r>
                          </w:p>
                        </w:tc>
                        <w:tc>
                          <w:tcPr>
                            <w:tcW w:w="30" w:type="dxa"/>
                            <w:vMerge w:val="continue"/>
                            <w:tcBorders/>
                            <w:vAlign w:val="bottom"/>
                          </w:tcPr>
                          <w:p>
                            <w:pPr>
                              <w:pStyle w:val="Normal"/>
                              <w:bidi w:val="0"/>
                              <w:jc w:val="left"/>
                              <w:rPr/>
                            </w:pPr>
                            <w:r>
                              <w:rPr/>
                            </w:r>
                          </w:p>
                        </w:tc>
                        <w:tc>
                          <w:tcPr>
                            <w:tcW w:w="587" w:type="dxa"/>
                            <w:tcBorders/>
                            <w:vAlign w:val="bottom"/>
                          </w:tcPr>
                          <w:p>
                            <w:pPr>
                              <w:pStyle w:val="TableContents"/>
                              <w:bidi w:val="0"/>
                              <w:spacing w:before="0" w:after="0"/>
                              <w:jc w:val="left"/>
                              <w:rPr/>
                            </w:pPr>
                            <w:hyperlink w:anchor="toc835745_14">
                              <w:r>
                                <w:rPr>
                                  <w:rStyle w:val="InternetLink"/>
                                  <w:rFonts w:ascii="Times New Roman" w:hAnsi="Times New Roman"/>
                                  <w:sz w:val="20"/>
                                </w:rPr>
                                <w:t>Principal Stockholders</w:t>
                              </w:r>
                            </w:hyperlink>
                          </w:p>
                        </w:tc>
                        <w:tc>
                          <w:tcPr>
                            <w:tcW w:w="5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right"/>
                              <w:rPr/>
                            </w:pPr>
                            <w:r>
                              <w:rPr/>
                              <w:t>193</w:t>
                            </w:r>
                          </w:p>
                        </w:tc>
                        <w:tc>
                          <w:tcPr>
                            <w:tcW w:w="32" w:type="dxa"/>
                            <w:tcBorders/>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0"/>
                              <w:jc w:val="left"/>
                              <w:rPr/>
                            </w:pPr>
                            <w:hyperlink w:anchor="toc835745_15">
                              <w:r>
                                <w:rPr>
                                  <w:rStyle w:val="InternetLink"/>
                                  <w:rFonts w:ascii="Times New Roman" w:hAnsi="Times New Roman"/>
                                  <w:sz w:val="20"/>
                                </w:rPr>
                                <w:t>Description of Capital Stock</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196</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6">
                              <w:r>
                                <w:rPr>
                                  <w:rStyle w:val="InternetLink"/>
                                  <w:rFonts w:ascii="Times New Roman" w:hAnsi="Times New Roman"/>
                                  <w:sz w:val="20"/>
                                </w:rPr>
                                <w:t>Shares Eligible for Future Sale</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203</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7">
                              <w:r>
                                <w:rPr>
                                  <w:rStyle w:val="InternetLink"/>
                                  <w:rFonts w:ascii="Times New Roman" w:hAnsi="Times New Roman"/>
                                  <w:sz w:val="20"/>
                                </w:rPr>
                                <w:t>Material U.S. Federal Income Tax Consequences to Non-U.S. Holders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206</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8">
                              <w:r>
                                <w:rPr>
                                  <w:rStyle w:val="InternetLink"/>
                                  <w:rFonts w:ascii="Times New Roman" w:hAnsi="Times New Roman"/>
                                  <w:sz w:val="20"/>
                                </w:rPr>
                                <w:t>Underwriting</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211</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19">
                              <w:r>
                                <w:rPr>
                                  <w:rStyle w:val="InternetLink"/>
                                  <w:rFonts w:ascii="Times New Roman" w:hAnsi="Times New Roman"/>
                                  <w:sz w:val="20"/>
                                </w:rPr>
                                <w:t>Legal Matters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20">
                              <w:r>
                                <w:rPr>
                                  <w:rStyle w:val="InternetLink"/>
                                  <w:rFonts w:ascii="Times New Roman" w:hAnsi="Times New Roman"/>
                                  <w:sz w:val="20"/>
                                </w:rPr>
                                <w:t>Experts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21">
                              <w:r>
                                <w:rPr>
                                  <w:rStyle w:val="InternetLink"/>
                                  <w:rFonts w:ascii="Times New Roman" w:hAnsi="Times New Roman"/>
                                  <w:sz w:val="20"/>
                                </w:rPr>
                                <w:t>Where You Can Find Additional Information</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220</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r>
                        <w:trPr/>
                        <w:tc>
                          <w:tcPr>
                            <w:tcW w:w="3635" w:type="dxa"/>
                            <w:tcBorders/>
                            <w:vAlign w:val="bottom"/>
                          </w:tcPr>
                          <w:p>
                            <w:pPr>
                              <w:pStyle w:val="TableContents"/>
                              <w:bidi w:val="0"/>
                              <w:spacing w:before="0" w:after="0"/>
                              <w:jc w:val="left"/>
                              <w:rPr/>
                            </w:pPr>
                            <w:hyperlink w:anchor="toc835745_22">
                              <w:r>
                                <w:rPr>
                                  <w:rStyle w:val="InternetLink"/>
                                  <w:rFonts w:ascii="Times New Roman" w:hAnsi="Times New Roman"/>
                                  <w:sz w:val="20"/>
                                </w:rPr>
                                <w:t>Index to Consolidated Financial Statements</w:t>
                              </w:r>
                            </w:hyperlink>
                          </w:p>
                        </w:tc>
                        <w:tc>
                          <w:tcPr>
                            <w:tcW w:w="190"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c>
                          <w:tcPr>
                            <w:tcW w:w="893"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do not take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or in any applicable free writing prospectus is current only as of its date, regardless of its time of delivery or the time of any sale of shares of our common stock. Our business, financial condition, results of operations and prospects may have changed since that date. </w:t>
      </w:r>
    </w:p>
    <w:p>
      <w:pPr>
        <w:pStyle w:val="TextBody"/>
        <w:bidi w:val="0"/>
        <w:spacing w:before="240" w:after="0"/>
        <w:jc w:val="both"/>
        <w:rPr>
          <w:rFonts w:ascii="Times New Roman" w:hAnsi="Times New Roman"/>
          <w:sz w:val="20"/>
        </w:rPr>
      </w:pPr>
      <w:r>
        <w:rPr>
          <w:rFonts w:ascii="Times New Roman" w:hAnsi="Times New Roman"/>
          <w:sz w:val="20"/>
        </w:rPr>
        <w:t xml:space="preserve">For investors outside of the United States: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 </w:t>
      </w:r>
    </w:p>
    <w:p>
      <w:pPr>
        <w:pStyle w:val="TextBody"/>
        <w:bidi w:val="0"/>
        <w:spacing w:before="240" w:after="0"/>
        <w:jc w:val="both"/>
        <w:rPr>
          <w:rFonts w:ascii="Times New Roman" w:hAnsi="Times New Roman"/>
          <w:b/>
          <w:sz w:val="20"/>
        </w:rPr>
      </w:pPr>
      <w:r>
        <w:rPr>
          <w:rFonts w:ascii="Times New Roman" w:hAnsi="Times New Roman"/>
          <w:b/>
          <w:sz w:val="20"/>
        </w:rPr>
        <w:t xml:space="preserve">Through and including October 20, 2024 (the 25th day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an underwriter and with respect to an unsold allotment or subscription.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835745_1"/>
      <w:bookmarkEnd w:id="3"/>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titled Risk Factors, Managements Discussion and Analysis of Financial Condition and Results of Operations, and Business, in each case included in this prospectus. Some of the statements in this prospectus constitute forward-looking statements that involve risks and uncertainties. See the section titled Special Note Regarding Forward-Looking Statements for additional information. Unless the context otherwise requires, we use the terms BioAge Labs, Inc., BioAge, the Company, we, us and our in this prospectus to refer to BioAge Labs,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developing therapeutic product candidates for metabolic diseases, such as obesity, by targeting the biology of human aging. Our technology platform and differentiated human datasets enable us to identify promising targets based on insights into molecular changes that drive aging. Our primary focus is metabolic disease, one of the greatest global healthcare challenges. Azelaprag, our lead product candidate, is an orally available small molecule that has been well-tolerated in 265 individuals across eight Phase 1 clinical trials. In preclinical obesity models, azelaprag demonstrated the ability to more than double the weight loss induced by a glucagon-like-peptide-1 receptor (GLP-1R) agonist while also restoring healthy body composition and improving muscle function. These preclinical results are supported by our Phase 1b clinical trial in older adults on bed rest where we observed decreased muscle atrophy, preservation of muscle quality and improved metabolism in subjects treated with azelaprag over a 10-day period. We plan to assess azelaprags potential to drive significant improvements in weight loss when combined with a GLP-1R agonist in two Phase 2 clinical trials. While the results of these preclinical studies and early clinical trials have demonstrated the potential use of azelaprag for the treatment of metabolic disease, they may not be predictive of the results of later-stage clinical trials. The ongoing STRIDES clinical trial will assess azelaprag in combination with tirzepatide, marketed as Zepbound® by Eli Lilly and Company (Lilly), with topline results anticipated in the third quarter of 2025. The second Phase 2 clinical trial will assess azelaprag in combination with semaglutide, marketed as Wegovy® by Novo Nordisk, with initiation expected in the first half of 2025 and topline results expected in the second half of 2026. We believe these trials will directly support our ultimate therapeutic goal of developing an all-oral combination product for obesity. We also intend to initiate an insulin sensitivity proof-of-concept trial of azelaprag monotherapy in the first half of 2025 to support potential indication expansion. We expect to report topline results from this proof-of-concept trial in the second half of 2025. We are also developing orally available small molecule brain-penetrant NLRP3 inhibitors for the treatment of diseases driven by neuroinflammation. We anticipate submitting an Investigational New Drug application (IND) for an NLRP3 inhibitor in the second half of 2025 and, if cleared, initiating a Phase 1 clinical trial in the first half of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approach: Targeting human aging biology to treat chronic metabolic diseases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burden of many serious and chronic diseasesincluding cardiovascular disease and diabetesincreases with age.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However, there is substantial natural variation in the human population, resulting in a broad range of aging trajectories and outcomes, with some people experiencing much longer lifespans as well as delayed disease onset. We created our company to identify biological pathways associated with longer, healthier human lifespans and to develop pharmaceutical products that can modulate these pathways with the intent to prevent and reverse specific diseases, focusing on metabolic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86755" cy="404622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786755" cy="4046220"/>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i/>
          <w:sz w:val="16"/>
          <w:bdr w:val="single" w:sz="8" w:space="1" w:color="000000"/>
        </w:rPr>
      </w:pPr>
      <w:r>
        <w:rPr>
          <w:rFonts w:ascii="Times New Roman" w:hAnsi="Times New Roman"/>
          <w:i/>
          <w:sz w:val="16"/>
          <w:bdr w:val="single" w:sz="8" w:space="1" w:color="000000"/>
        </w:rPr>
        <w:t xml:space="preserve">We capture a range of aging outcomes in our human aging cohorts, including functional and cognitive decline, disease incidence and mortality. In this example, deep, serial profiling of circulating proteins in these participants was used to understand the biology that drives these outcomes.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Our approach starts with human data. We examine the impact of the molecular changes that happen naturally as people age and study how these changes drive both functional decline (e.g., loss of muscle strength) and disease risk (e.g., obesity, insulin resistance, dyslipidemia, hypertension). To develop new insights into the biological drivers of aging, we have generated proprietary longitudinal human datasets based on exclusive access to a unique resource: serial biobanked human samples coupled with health records and functional measurements collected for up to 50 years, capturing individual aging trajectories measured over several decades. We analyze these samples using state-of-the-art molecular profiling technologies, measuring thousands of biologically relevant molecules, and then apply computational tools to the resulting data to extract potential drivers of a long and healthy lifespan.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267710" cy="148717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267710" cy="1487170"/>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i/>
          <w:sz w:val="16"/>
          <w:bdr w:val="single" w:sz="8" w:space="1" w:color="000000"/>
        </w:rPr>
      </w:pPr>
      <w:r>
        <w:rPr>
          <w:rFonts w:ascii="Times New Roman" w:hAnsi="Times New Roman"/>
          <w:i/>
          <w:sz w:val="16"/>
          <w:bdr w:val="single" w:sz="8" w:space="1" w:color="000000"/>
        </w:rPr>
        <w:t xml:space="preserve">The BioAge platform encompasses over 50 million molecular data points spanning over 10 thousand individual participant profiles and over 50 years of follow-up.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selected chronic metabolic diseases as our primary focus within age related chronic diseases, given their high prevalence and resulting potential for impact on population health. Chronic metabolic diseases represent some of the largest addressable therapeutics markets. Through our approach, we expect to target outsized commercial opportunities, initially within the obesity and diabetes landscape. For instance, according to third-party estimates, the global market for GLP-1R agonists, including those used to treat diabetes, is expected to grow to $150 billion by 2031.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Pipeline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building a pipeline of platform-derived therapeutics targeting chronic metabolic disease. Our lead product candidate, azelaprag, is an orally available small molecule agonist of the apelin receptor (APJ) where activation has the potential to recapitulate many of the benefits of exercise. We are developing azelaprag for the treatment of obesity in combination with GLP-1R agonists with the goal of increasing overall weight loss, with the potential to also improve tolerability and body composition. We have initiated one Phase 2 clinical trial of azelaprag in combination with tirzepatide and plan to initiate a second Phase 2 clinical trial of azelaprag in combination with semaglutide in the first half of 2025 and topline results expected in the second half of 2026. We are also developing a series of oral small molecule inhibitors of NLRP3, a key driver of neuroinflammation, which is linked to many diseases including obesity. We anticipate submitting an IND for an NLRP3 inhibitor in the second half of 2025 and, if cleared, initiating a Phase 1 clinical trial in the first half of 2026. From our platform, we have several additional targets with product candidates in discovery stages, and we are also continuously seeking to identify and develop further promising targets.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Our portfolio of product candidates is summarized in the figure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053330" cy="20320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053330" cy="2032000"/>
                    </a:xfrm>
                    <a:prstGeom prst="rect">
                      <a:avLst/>
                    </a:prstGeom>
                  </pic:spPr>
                </pic:pic>
              </a:graphicData>
            </a:graphic>
          </wp:inline>
        </w:drawing>
      </w:r>
      <w:r>
        <w:rPr>
          <w:bdr w:val="single" w:sz="8" w:space="1" w:color="000000"/>
        </w:rPr>
        <w:t xml:space="preserve"> </w:t>
      </w:r>
    </w:p>
    <w:p>
      <w:pPr>
        <w:pStyle w:val="TextBody"/>
        <w:bidi w:val="0"/>
        <w:spacing w:before="360" w:after="0"/>
        <w:jc w:val="both"/>
        <w:rPr>
          <w:rFonts w:ascii="Times New Roman" w:hAnsi="Times New Roman"/>
          <w:b/>
          <w:i/>
          <w:sz w:val="20"/>
          <w:bdr w:val="single" w:sz="8" w:space="1" w:color="000000"/>
        </w:rPr>
      </w:pPr>
      <w:r>
        <w:rPr>
          <w:rFonts w:ascii="Times New Roman" w:hAnsi="Times New Roman"/>
          <w:b/>
          <w:i/>
          <w:sz w:val="20"/>
          <w:bdr w:val="single" w:sz="8" w:space="1" w:color="000000"/>
        </w:rPr>
        <w:t xml:space="preserve">Our lead product candidate, azelaprag: an orally available, small molecule APJ agonist that has the potential to recapitulate the effects of exercise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Leveraging our platform, we found that apelin levels decrease with age and that higher levels of apelin are predictive of both improved physical function and increased longevity. Apelin is a type of signaling molecule released in response to exercise known as an exerkine, which, as shown in preclinical studies and clinical trials, has the potential to recapitulate many of the downstream benefits of exercise. Azelaprag is an orally available, small molecule agonist of APJ that we are developing for the treatment of obesity.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December 2022, we announced results demonstrating statistically significant results on pharmacodynamic measures of maintenance of muscle size and quality in participants administered 240 mg of azelaprag as compared to placebo from our Phase 1b clinical trial in 21 healthy volunteers ≥65 years old over 10 days of bed rest, of which 10 received placebo. We also observed several metabolic benefits in subjects dosed with azelaprag, including significantly higher rates of muscle protein synthesis as well as preservation of predicted resting energy expenditure and cardiorespiratory fitness. Azelaprag was also observed to shift the levels of circulating proteins in a way that is highly overlapping with endurance exercise, further supporting that it may be able to mimic some global effects of exercise at the protein level.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Across eight Phase 1 clinical trials conducted between us and Amgen, azelaprag has been well-tolerated in 265 individuals, with an adverse event rate similar to placebo.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advancing azelaprag as a treatment for obesity, where our key therapeutic goal is to achieve injectable-like overall weight loss in an all-oral combination with an incretin (a class of gut-derived metabolic hormones that includes GLP-1 and plays a role in increasing satiety, increasing insulin secretion and sensitivity, and delaying gastric emptying), with the potential to also improve tolerability and body composition.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Similar to how exercise increases weight loss in obese patients on incretins, administration of azelaprag in combination with GLP-1R agonists resulted in potent synergistic increase in weight loss achieved in a preclinical model of diet-induced obesity. The addition of azelaprag was shown to approximately double total weight loss while restoring body composition and muscle function to that of lean controls, without any significant additional decrease in energy intake. The addition of azelaprag was also observed to significantly reduce non-fasting glucose levels. While the results of these preclinical studies and early clinical trials have demonstrated the potential use of azelaprag for the treatment of metabolic disease, they may not be predictive of the results in later-stage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evolving obesity treatment landscape: we believe azelaprag addresses multiple key unmet needs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Obesity is associated with a range of adverse health outcomes such as insulin resistance, dyslipidemia and increased blood pressure that can be reduced or even completely resolved with weight loss, with outcomes largely proportional to the amount of weight lost. Until recently, pharmaceutical treatments for obesity had limited efficacy and furthermore were associated with side effects that led to poor tolerability. The development of a class of drugs known as incretins has dramatically changed the treatment landscape.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GLP-1R agonists are part of the incretin class, which mimics the effects of hormones released after eating and are used to treat metabolic diseases. Certain injectable GLP-1R agonists have recently been approved for the treatment of diabetes and obesity. However, there continues to be significant interest by pharmaceutical companies in oral obesity medications given strong patient preference and fewer supply chain challenges compared to injectables, including cold-chain requirements and high manufacturing costs.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Despite the recent approvals of such injectable GLP-1R agonists, there remain important unmet needs for people struggling with obesity, including improved oral efficacy, tolerability and body composition: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147820" cy="238696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4147820" cy="2386965"/>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i/>
          <w:sz w:val="16"/>
          <w:bdr w:val="single" w:sz="8" w:space="1" w:color="000000"/>
        </w:rPr>
      </w:pPr>
      <w:r>
        <w:rPr>
          <w:rFonts w:ascii="Times New Roman" w:hAnsi="Times New Roman"/>
          <w:i/>
          <w:sz w:val="16"/>
          <w:bdr w:val="single" w:sz="8" w:space="1" w:color="000000"/>
        </w:rPr>
        <w:t xml:space="preserve">Key unmet needs for weight loss regimens include increased weight loss in an all-oral regimen, improved gastrointestinal (GI) tolerability and improved body composition.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Oral efficacy</w:t>
            </w:r>
            <w:r>
              <w:rPr>
                <w:rFonts w:ascii="Times New Roman" w:hAnsi="Times New Roman"/>
                <w:sz w:val="20"/>
              </w:rPr>
              <w:t xml:space="preserve">: Overall weight loss with oral incretins has lagged injectables, potentially because the most advanced orals have a single target (GLP-1R) whereas some injectables have combined multiple mechanisms. For example, subjects in a clinical trial of oral semaglutide (50 mg), currently the most advanced oral drug in this class, achieved 15.1% weight loss at week 68, while subjects in a clinical trial of tirzepatide (15 mg), an FDA-approved dual GLP-1 / GIP agonist, which is currently the leading weight loss injectable, achieved 20.9% weight loss at week 72. Clinical trial results suggest efficacy of injectable incretins may increase further. For example, retatrutide, an investigational incretin that combines three different mechanisms, achieved 24.2% overall weight loss at week 48 in a Phase 2 clinical trial. Furthermore, oral doses that achieve more competitive efficacy have often been observed to come with the tradeoff of worsened tolerability.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Tolerability</w:t>
            </w:r>
            <w:r>
              <w:rPr>
                <w:rFonts w:ascii="Times New Roman" w:hAnsi="Times New Roman"/>
                <w:sz w:val="20"/>
              </w:rPr>
              <w:t xml:space="preserve">: Current GLP-1R agonists are not well-tolerated by all patients. Across obesity trials of injectable semaglutide and tirzepatide, up to 44% of subjects experienced gastrointestinal side effects such as nausea, diarrhea, and vomiting, which contributed to a discontinuation rate of up to 17%. The incidence of gastrointestinal adverse events is even higher with other oral GLP-1R agonists in late-stage third-party clinical trials. Because these adverse effects appear to be dose-dependent, we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believe combination approaches with APJ agonists may provide an opportunity to achieve weight reduction goals using a lower and therefore potentially more tolerable dose of GLP-1R agonists.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Body composition</w:t>
            </w:r>
            <w:r>
              <w:rPr>
                <w:rFonts w:ascii="Times New Roman" w:hAnsi="Times New Roman"/>
                <w:sz w:val="20"/>
              </w:rPr>
              <w:t xml:space="preserve">: The benefits of weight loss mediated by GLP-1R agonists can be compromised by suboptimal body compositionthe balance of lean and fat mass. In older patients, up to half of the weight loss is comprised of lean body mass, which is primarily muscle. Suboptimal body composition has been linked to several adverse treatment outcomes including rebound weight gain and impaired physical function, especially in older patients.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initiated a Phase 2 clinical trial and are planning a second Phase 2 clinical trial of azelaprag in combination with injectable GLP-1R agonists, as these drugs are approved; however our ultimate objective is to develop an all-oral weight loss combination with an oral incretin. Dosing oral incretin drugs in combination with orally administered azelaprag could provide well-tolerated weight loss in line with that achieved by injectable agonists alone, as well as superior body composition.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Our azelaprag clinical development strategy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initiating two Phase 2 clinical trials of azelaprag in combination with GLP-1R agonists. The first of these trials, STRIDES, is an ongoing clinical trial of azelaprag in combination with tirzepatide in approximately 220 obese individuals aged 55 and over, an age group that represents 35-40% of the adult obese population in the U.S. We are initially focusing on these older patients because the muscle and metabolic benefits of azelaprag observed in our Phase 1b clinical trial were achieved in older patients. The goal of the STRIDES clinical trial is to establish proof of concept for enhanced weight loss. The primary endpoint of this trial will be weight loss at 24 weeks. In addition, biomarkers, changes in body composition and glucose control will be assessed as exploratory endpoints. We anticipate topline results in the third quarter of 2025.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a material transfer agreement with Lilly, under which Lilly has agreed to provide us with tirzepatide in connection with our STRIDES clinical trial of azelaprag in obesity. Lillys Chorus clinical development organization is advising and assisting on all aspects of the Phase 2 STRIDES clinical trial design and execution, enabling us to benefit from Lillys extensive clinical experience in this space, while retaining all rights to azelaprag.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goals of our second Phase 2 clinical trial are to demonstrate: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GLP-1R-like agonist class effect.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Efficacy in a wider population that includes younger patients.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Overall weight loss achieved after 52 weeks of treatment.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that end, we intend to combine azelaprag with semaglutide in our second Phase 2 clinical trial and enroll approximately 300 obese individuals ages 18 and older. Trial initiation is anticipated in the first half of 2025 with topline results expected in the second half of 2026. The primary endpoint of this Phase 2 clinical trial will be weight loss at 52 weeks, with similar exploratory endpoints to the tirzepatide combination trial.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While we are currently planning Phase 2 clinical trials with azelaprag in combination with injectable GLP-1R agonists, as these drugs are already approved, our ultimate objective is to develop an all-oral weight loss combination with an oral incretin.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parallel, we intend to initiate an insulin sensitivity proof-of-concept trial of azelaprag monotherapy in the first half of 2025 to support potential indication expansion. We expect to report topline results from this proof-of-concept trial in the second half of 2025. The goal of this clinical trial is to assess the potential direct benefits of azelaprag, informing potential subsequent development for treatment of obesity with comorbid type 2 diabetes in combination with a GLP-1R agonist.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b/>
          <w:i/>
          <w:sz w:val="20"/>
          <w:bdr w:val="single" w:sz="8" w:space="1" w:color="000000"/>
        </w:rPr>
      </w:pPr>
      <w:r>
        <w:rPr>
          <w:rFonts w:ascii="Times New Roman" w:hAnsi="Times New Roman"/>
          <w:b/>
          <w:i/>
          <w:sz w:val="20"/>
          <w:bdr w:val="single" w:sz="8" w:space="1" w:color="000000"/>
        </w:rPr>
        <w:t xml:space="preserve">We are also developing orally available, brain-penetrant inhibitors of NLRP3, a key target for neuroinflammation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developing brain-penetrant, structurally novel small molecule inhibitors of NLRP3 that have a novel binding site. NLRP3 is a component of a multi-protein complex referred to as the inflammasome. NLRP3-driven neuroinflammation has been linked to both obesity and neurodegenerative diseases. We intend to submit an IND for an NLRP3 inhibitor to the FDA in the second half of 2025 and, if cleared, initiate a Phase 1 trial in the first half of 2026 to evaluate safety, tolerability, pharmacokinetics and pharmacodynamics in healthy volunteers.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Team and Investors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assembled a leadership team of experts in aging biology and drug development. Our senior team consists of the following members: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Kristen Fortney, Ph.D., our Chief Executive Officer and co-founder. Dr. Fortney has extensive experience in aging biology, genetics and bioinformatics and systems biology from her work at Stanford and the University of Toronto.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Eric Morgen, M.D., our Chief Operating Officer and co-founder. Dr. Morgen was previously on the faculty at the University of Toronto, where his research focused on biomarker discovery and characterization in high-dimensional datasets from human cohorts.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Dov Goldstein, M.D., our Chief Financial Officer. Dr. Goldstein previously served as Chief Financial Officer at Vicuron Pharmaceuticals, Inc. and Loxo Oncology Inc., as well as a Managing Partner at Aisling Capital. He was most recently the Chief Financial Officer and Chief Business Officer of Indapta Therapeutics,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Paul Rubin, M.D., our Chief Medical Officer. Dr. Rubin has over 35 years of experience in the biotechnology industry and has led 12 compounds to U.S. approval, with five led from discovery through approval, including Lunesta® and Xopenex®. He most recently served as Executive Vice President Research and Development at miRagen Therapeutics, Inc., and was previously Chief Medical Officer at XOMA Corporation and Executive Vice President Research and Development at Sepracor,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 Neale, our Chief Development Officer. Ms. Neale has over 30 years of experience in the biotechnology industry. She was most recently Senior Vice President of Development Operations at Principia BioPharma Inc. (acquired by Sanofi S.A.), where she led operations and resourcing strategy for multiple global early- and late-phase clinical programs.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Peng Leong, Ph.D., our Chief Business Officer. Dr. Leong has extensive experience in the biotech industry, previously serving in healthcare investment banking at Piper Jaffray and as Head of General Medicine Business Development at Merck KgaA and Chief Business Officer at Kazia Therapeutics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BJ Sullivan, Ph.D., our Chief Strategy Officer. Dr. Sullivan was previously in L.E.K. Consultings life sciences practice, where he advised biopharma companies on growth strategy and M&amp;A.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George Hartman, Ph.D. leads our drug discovery efforts. Dr. Hartman is a co-founder of Novira Therapeutics, Inc. and previously served as executive director of medicinal chemistry at Merck &amp; Co., Inc. where he and his group identified and brought 12 drug candidates into Phase 2 or Phase 3 clinical trials.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backed by a strong set of healthcare-specific investors, including our 5% or greater stockholders, a16z Bio + Health, Khosla Ventures, Sofinnova Investments, Longitude Capital, RA Capital, Cormorant Asset Management, Kaiser Permanente, and Horsley Bridge. Prospective investors should not rely on the investment decisions of our existing investors, as these investors may have different risk tolerances and strategies and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purchased their shares in prior offerings at prices lower than the price offered to the public in this offering. In addition, some of these investors may not be subject to reporting requirements under Section 16 of the Securities Exchange Act of 1934, as amended (the Exchange Act), and, thus, prospective investors may not necessarily know the total amount of investment by each of the prior investors and if and when some of the prior investors decide to sell any of their shares.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goal is to develop a focused portfolio of therapies for metabolic disease by targeting the biology of human aging.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strategy is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Apply novel insights into aging biology to build a pipeline of therapeutics to transform the treatment of chronic metabolic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Efficiently advance the clinical development of azelaprag as a novel exercise mimetic for the treatment of obesity.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 azelaprag as a key component of all-oral obesity therapy.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Maximize the potential of azelaprag in adjacent indications, including diabetes.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Advance an NLRP3 inhibitor for the treatment of neuroinflammation.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Selectively partner our product candidates to maximize patient impact and shareholder value.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and uncertainties, including those highlighted in the section titled Risk Factors immediately following this prospectus summary. These risks include, among others,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Even if this offering and the concurrent private placement are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substantially dependent on the success of our lead product candidate, azelaprag, which is currently in clinical development, and for which we have not completed a Phase 2 efficacy trial, and any future product candidates we may develop. If we are unable to advance the development of, receive regulatory approval for and ultimately successfully commercialize azelaprag or any future product candidates we may develop,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Drug development is a lengthy and expensive process, the outcome of clinical testing is inherently uncertain, and results of earlier studies and trials may not be predictive of future trial results. We may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incur additional costs or experience delays in completing, or ultimately be unable to complete, the development and commercialization of azelaprag and any future product candidates for many reasons, including a failure to replicate positive results from earlier preclinical studies or clinical trials in ongoing or future preclinical studies or clinical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developing our lead product candidate, azelaprag, and may develop future product candidates, in combination with other therapies, which would expose us to additional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expect to expand our development, clinical and regulatory capabilities and operations as we grow, and as a result, we may encounter difficulties in managing our growth, which could disrupt our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quarterly and annual operating results may fluctuate significantly or may fall below the expectations of investors or securities analysts, each of which may cause our stock price to fluctuate or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Negative results or publicity for one obesity drug could have a substantial impact on all drugs and product candidates for the treatment of obesity, including ours.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manufacture of pharmaceutical products, including our product candidates, such as azelaprag, is complex. Our third-party manufacturers may encounter difficulties in production, which could delay or entirely halt their ability to supply our product candidates for clinical trials or, if approved, for commercial sale.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If we are unable to adequately address these and other risks we face, our business, results of operations, financial condition and prospects may be harmed.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Concurrent Private Placement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Sofinnova Venture Partners, XI, L.P., an existing stockholder, has agreed to purchase approximately $10.6 million in shares of our common stock in a concurrent private placement exempt from the registration requirements of the Securities Act of 1933, as amended (Securities Act), at a per share price equal to the initial public offering price of $18.00 per share (588,888 shares). The private placement will close concurrently with, and is contingent and conditioned upon consummation of, this offering, as well as certain other customary closing conditions. However, this offering is not contingent on the closing of the concurrent private placement. The underwriters have agreed to act as placement agents in connection with the concurrent private placement and will receive a placement agent fee equal to 7.0% of the total purchase price of the private placement shares. In connection with the concurrent private placement, we have entered into a stock purchase agreement with Sofinnova Venture Partners, XI, L.P. In addition, an affiliate of Sofinnova Venture Partners, XI, L.P. is expected to invest up to $1.4 million directly in the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and Other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April 1, 2015, under the name BioAge Labs, Inc.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1445A South 50th Street, Richmond, California 94804, and our telephone number is (510) 906-1445. Our website address is https://bioagelabs.com. The information contained on, or that can be accessed through, our website is not part of, and is not incorporated by reference into, this prospectus. We have included our website in this prospectus solely as a textual reference. Investors should not rely on any such information in deciding whether to purchase our common stock.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BioAge marks and logos, along with our other registered or common law trade names, trademarks or service marks, appearing in this prospectus are valuable company assets and are the exclusive property of BioAge. Solely for convenience, the trademarks, service marks and trade names referred to in this prospectus appear without the ® and  symbols, but this should not be interpreted as a waiver of any rights, and we fully reserve the right to assert and protect our intellectual property rights concerning our marks in accordance with applicable laws.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All other service marks, trademarks and trade names appearing in this prospectus are the property of their respective owners. Our use of third-party trade names, trademarks or service marks in this prospectus does not imply any affiliation with, endorsement by, or sponsorship by us of those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As a company with less than $1.235 billion in revenue during our last fiscal year, we qualify as an emerging growth company as defined in the Jumpstart Our Business Startups Act of 2012 (JOBS Act). An emerging growth company may take advantage of certain exemptions from various reporting requirements that are applicable to other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being permitted to present only two years of financial statements and only two years of reduced related Managements Discussion and Analysis of Financial Condition and Results of Operations disclosure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(Sarbanes-Oxley Act), on the effectiveness of our internal controls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Securities and Exchange Commission (SEC) determines the new rules are necessary for protecting the public;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disclosure obligations regarding executive compensation arrangements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in any three-year period, more than $1.0 billion in non-convertible debt securities; and (iv) the last day of the fiscal year ending after the fifth anniversary of the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for emerging growth companies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JOBS Act provides that an emerging growth company can take advantage of an extended transition period for complying with new or revised accounting standards, until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the market value of our capital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capital stock held by non-affiliates is less than $250.0 million or (ii) our annual revenue was less than $100.0 million during the most recently completed fiscal year and the market value of our capital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404(b) of the Sarbanes-Oxley Act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49"/>
        <w:gridCol w:w="120"/>
        <w:gridCol w:w="4936"/>
      </w:tblGrid>
      <w:tr>
        <w:trPr/>
        <w:tc>
          <w:tcPr>
            <w:tcW w:w="51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offered by us</w:t>
            </w:r>
          </w:p>
        </w:tc>
        <w:tc>
          <w:tcPr>
            <w:tcW w:w="120" w:type="dxa"/>
            <w:tcBorders/>
            <w:vAlign w:val="bottom"/>
          </w:tcPr>
          <w:p>
            <w:pPr>
              <w:pStyle w:val="TableContents"/>
              <w:bidi w:val="0"/>
              <w:spacing w:before="0" w:after="283"/>
              <w:jc w:val="left"/>
              <w:rPr/>
            </w:pPr>
            <w:r>
              <w:rPr/>
              <w:t>  </w:t>
            </w:r>
          </w:p>
        </w:tc>
        <w:tc>
          <w:tcPr>
            <w:tcW w:w="4936" w:type="dxa"/>
            <w:tcBorders/>
          </w:tcPr>
          <w:p>
            <w:pPr>
              <w:pStyle w:val="TableContents"/>
              <w:bidi w:val="0"/>
              <w:spacing w:before="0" w:after="0"/>
              <w:jc w:val="both"/>
              <w:rPr>
                <w:rFonts w:ascii="Times New Roman" w:hAnsi="Times New Roman"/>
                <w:sz w:val="20"/>
              </w:rPr>
            </w:pPr>
            <w:r>
              <w:rPr>
                <w:rFonts w:ascii="Times New Roman" w:hAnsi="Times New Roman"/>
                <w:sz w:val="20"/>
              </w:rPr>
              <w:t>11,000,000 shares.</w:t>
            </w:r>
          </w:p>
        </w:tc>
      </w:tr>
      <w:tr>
        <w:trPr>
          <w:trHeight w:val="75" w:hRule="atLeast"/>
        </w:trPr>
        <w:tc>
          <w:tcPr>
            <w:tcW w:w="5149" w:type="dxa"/>
            <w:tcBorders/>
            <w:vAlign w:val="center"/>
          </w:tcPr>
          <w:p>
            <w:pPr>
              <w:pStyle w:val="TableContents"/>
              <w:bidi w:val="0"/>
              <w:spacing w:before="0" w:after="283"/>
              <w:jc w:val="left"/>
              <w:rPr>
                <w:sz w:val="4"/>
                <w:szCs w:val="4"/>
              </w:rPr>
            </w:pPr>
            <w:r>
              <w:rPr>
                <w:sz w:val="4"/>
                <w:szCs w:val="4"/>
              </w:rPr>
            </w:r>
          </w:p>
        </w:tc>
        <w:tc>
          <w:tcPr>
            <w:tcW w:w="5056" w:type="dxa"/>
            <w:gridSpan w:val="2"/>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rFonts w:ascii="Times New Roman" w:hAnsi="Times New Roman"/>
                <w:sz w:val="20"/>
              </w:rPr>
            </w:pPr>
            <w:r>
              <w:rPr>
                <w:rFonts w:ascii="Times New Roman" w:hAnsi="Times New Roman"/>
                <w:sz w:val="20"/>
              </w:rPr>
              <w:t>Option to purchase additional shares</w:t>
            </w:r>
          </w:p>
        </w:tc>
        <w:tc>
          <w:tcPr>
            <w:tcW w:w="120" w:type="dxa"/>
            <w:tcBorders/>
            <w:vAlign w:val="bottom"/>
          </w:tcPr>
          <w:p>
            <w:pPr>
              <w:pStyle w:val="TableContents"/>
              <w:bidi w:val="0"/>
              <w:spacing w:before="0" w:after="283"/>
              <w:jc w:val="left"/>
              <w:rPr/>
            </w:pPr>
            <w:r>
              <w:rPr/>
              <w:t>  </w:t>
            </w:r>
          </w:p>
        </w:tc>
        <w:tc>
          <w:tcPr>
            <w:tcW w:w="4936" w:type="dxa"/>
            <w:tcBorders/>
          </w:tcPr>
          <w:p>
            <w:pPr>
              <w:pStyle w:val="TableContents"/>
              <w:bidi w:val="0"/>
              <w:spacing w:before="0" w:after="0"/>
              <w:jc w:val="both"/>
              <w:rPr>
                <w:rFonts w:ascii="Times New Roman" w:hAnsi="Times New Roman"/>
                <w:sz w:val="20"/>
              </w:rPr>
            </w:pPr>
            <w:r>
              <w:rPr>
                <w:rFonts w:ascii="Times New Roman" w:hAnsi="Times New Roman"/>
                <w:sz w:val="20"/>
              </w:rPr>
              <w:t>We have granted the underwriters an option to purchase up to 1,650,000 additional shares of common stock from us at any time within 30 days from the date of this prospectus.</w:t>
            </w:r>
          </w:p>
        </w:tc>
      </w:tr>
      <w:tr>
        <w:trPr>
          <w:trHeight w:val="75" w:hRule="atLeast"/>
        </w:trPr>
        <w:tc>
          <w:tcPr>
            <w:tcW w:w="5149" w:type="dxa"/>
            <w:tcBorders/>
            <w:vAlign w:val="center"/>
          </w:tcPr>
          <w:p>
            <w:pPr>
              <w:pStyle w:val="TableContents"/>
              <w:bidi w:val="0"/>
              <w:spacing w:before="0" w:after="283"/>
              <w:jc w:val="left"/>
              <w:rPr>
                <w:sz w:val="4"/>
                <w:szCs w:val="4"/>
              </w:rPr>
            </w:pPr>
            <w:r>
              <w:rPr>
                <w:sz w:val="4"/>
                <w:szCs w:val="4"/>
              </w:rPr>
            </w:r>
          </w:p>
        </w:tc>
        <w:tc>
          <w:tcPr>
            <w:tcW w:w="5056" w:type="dxa"/>
            <w:gridSpan w:val="2"/>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rFonts w:ascii="Times New Roman" w:hAnsi="Times New Roman"/>
                <w:sz w:val="20"/>
              </w:rPr>
            </w:pPr>
            <w:r>
              <w:rPr>
                <w:rFonts w:ascii="Times New Roman" w:hAnsi="Times New Roman"/>
                <w:sz w:val="20"/>
              </w:rPr>
              <w:t>Concurrent private placement</w:t>
            </w:r>
          </w:p>
        </w:tc>
        <w:tc>
          <w:tcPr>
            <w:tcW w:w="120" w:type="dxa"/>
            <w:tcBorders/>
            <w:vAlign w:val="bottom"/>
          </w:tcPr>
          <w:p>
            <w:pPr>
              <w:pStyle w:val="TableContents"/>
              <w:bidi w:val="0"/>
              <w:spacing w:before="0" w:after="283"/>
              <w:jc w:val="left"/>
              <w:rPr/>
            </w:pPr>
            <w:r>
              <w:rPr/>
              <w:t>  </w:t>
            </w:r>
          </w:p>
        </w:tc>
        <w:tc>
          <w:tcPr>
            <w:tcW w:w="4936" w:type="dxa"/>
            <w:tcBorders/>
          </w:tcPr>
          <w:p>
            <w:pPr>
              <w:pStyle w:val="TableContents"/>
              <w:bidi w:val="0"/>
              <w:spacing w:before="0" w:after="0"/>
              <w:jc w:val="both"/>
              <w:rPr>
                <w:rFonts w:ascii="Times New Roman" w:hAnsi="Times New Roman"/>
                <w:sz w:val="20"/>
              </w:rPr>
            </w:pPr>
            <w:r>
              <w:rPr>
                <w:rFonts w:ascii="Times New Roman" w:hAnsi="Times New Roman"/>
                <w:sz w:val="20"/>
              </w:rPr>
              <w:t>Sofinnova Venture Partners, XI, L.P., an existing stockholder, has agreed to purchase approximately $10.6 million in shares of our common stock in a concurrent private placement exempt from the registration requirements of the Securities Act at a per share price equal to the initial public offering price of $18.00 per share (588,888 shares). The private placement will close concurrently with, and is contingent and conditioned upon consummation of, this offering, as well as certain other customary closing conditions. However, this offering is not contingent on the closing of the concurrent private placement. The underwriters have agreed to act as placement agents in connection with the concurrent private placement and will receive a placement agent fee equal to 7.0% of the total purchase price of the private placement shares. In connection with the concurrent private placement, we have entered into a stock purchase agreement with Sofinnova Venture Partners, XI, L.P. In addition, an affiliate of Sofinnova Venture Partners, XI, L.P. is expected to invest up to $1.4 million directly in the public offering.</w:t>
            </w:r>
          </w:p>
        </w:tc>
      </w:tr>
      <w:tr>
        <w:trPr>
          <w:trHeight w:val="75" w:hRule="atLeast"/>
        </w:trPr>
        <w:tc>
          <w:tcPr>
            <w:tcW w:w="5149" w:type="dxa"/>
            <w:tcBorders/>
            <w:vAlign w:val="center"/>
          </w:tcPr>
          <w:p>
            <w:pPr>
              <w:pStyle w:val="TableContents"/>
              <w:bidi w:val="0"/>
              <w:spacing w:before="0" w:after="283"/>
              <w:jc w:val="left"/>
              <w:rPr>
                <w:sz w:val="4"/>
                <w:szCs w:val="4"/>
              </w:rPr>
            </w:pPr>
            <w:r>
              <w:rPr>
                <w:sz w:val="4"/>
                <w:szCs w:val="4"/>
              </w:rPr>
            </w:r>
          </w:p>
        </w:tc>
        <w:tc>
          <w:tcPr>
            <w:tcW w:w="5056" w:type="dxa"/>
            <w:gridSpan w:val="2"/>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to be outstanding immediately after this offering and concurrent private placement</w:t>
            </w:r>
          </w:p>
        </w:tc>
        <w:tc>
          <w:tcPr>
            <w:tcW w:w="120" w:type="dxa"/>
            <w:tcBorders/>
            <w:vAlign w:val="bottom"/>
          </w:tcPr>
          <w:p>
            <w:pPr>
              <w:pStyle w:val="TableContents"/>
              <w:bidi w:val="0"/>
              <w:spacing w:before="0" w:after="283"/>
              <w:jc w:val="left"/>
              <w:rPr/>
            </w:pPr>
            <w:r>
              <w:rPr/>
              <w:t>  </w:t>
            </w:r>
          </w:p>
        </w:tc>
        <w:tc>
          <w:tcPr>
            <w:tcW w:w="4936" w:type="dxa"/>
            <w:tcBorders/>
          </w:tcPr>
          <w:p>
            <w:pPr>
              <w:pStyle w:val="TableContents"/>
              <w:bidi w:val="0"/>
              <w:spacing w:before="0" w:after="0"/>
              <w:jc w:val="left"/>
              <w:rPr/>
            </w:pPr>
            <w:r>
              <w:rPr/>
            </w:r>
          </w:p>
          <w:p>
            <w:pPr>
              <w:pStyle w:val="TableContents"/>
              <w:bidi w:val="0"/>
              <w:spacing w:before="0" w:after="0"/>
              <w:jc w:val="both"/>
              <w:rPr>
                <w:rFonts w:ascii="Times New Roman" w:hAnsi="Times New Roman"/>
                <w:sz w:val="20"/>
              </w:rPr>
            </w:pPr>
            <w:r>
              <w:rPr>
                <w:rFonts w:ascii="Times New Roman" w:hAnsi="Times New Roman"/>
                <w:sz w:val="20"/>
              </w:rPr>
              <w:t>34,167,184 shares (or 35,817,184 shares, if the underwriters exercise their option to purchase additional shares in full).</w:t>
            </w:r>
          </w:p>
        </w:tc>
      </w:tr>
      <w:tr>
        <w:trPr>
          <w:trHeight w:val="75" w:hRule="atLeast"/>
        </w:trPr>
        <w:tc>
          <w:tcPr>
            <w:tcW w:w="5149" w:type="dxa"/>
            <w:tcBorders/>
            <w:vAlign w:val="center"/>
          </w:tcPr>
          <w:p>
            <w:pPr>
              <w:pStyle w:val="TableContents"/>
              <w:bidi w:val="0"/>
              <w:spacing w:before="0" w:after="283"/>
              <w:jc w:val="left"/>
              <w:rPr>
                <w:sz w:val="4"/>
                <w:szCs w:val="4"/>
              </w:rPr>
            </w:pPr>
            <w:r>
              <w:rPr>
                <w:sz w:val="4"/>
                <w:szCs w:val="4"/>
              </w:rPr>
            </w:r>
          </w:p>
        </w:tc>
        <w:tc>
          <w:tcPr>
            <w:tcW w:w="5056" w:type="dxa"/>
            <w:gridSpan w:val="2"/>
            <w:tcBorders/>
            <w:vAlign w:val="center"/>
          </w:tcPr>
          <w:p>
            <w:pPr>
              <w:pStyle w:val="TableContents"/>
              <w:bidi w:val="0"/>
              <w:spacing w:before="0" w:after="283"/>
              <w:jc w:val="left"/>
              <w:rPr>
                <w:sz w:val="4"/>
                <w:szCs w:val="4"/>
              </w:rPr>
            </w:pPr>
            <w:r>
              <w:rPr>
                <w:sz w:val="4"/>
                <w:szCs w:val="4"/>
              </w:rPr>
            </w:r>
          </w:p>
        </w:tc>
      </w:tr>
      <w:tr>
        <w:trPr/>
        <w:tc>
          <w:tcPr>
            <w:tcW w:w="5149"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0" w:type="dxa"/>
            <w:tcBorders/>
            <w:vAlign w:val="bottom"/>
          </w:tcPr>
          <w:p>
            <w:pPr>
              <w:pStyle w:val="TableContents"/>
              <w:bidi w:val="0"/>
              <w:spacing w:before="0" w:after="283"/>
              <w:jc w:val="left"/>
              <w:rPr/>
            </w:pPr>
            <w:r>
              <w:rPr/>
              <w:t>  </w:t>
            </w:r>
          </w:p>
        </w:tc>
        <w:tc>
          <w:tcPr>
            <w:tcW w:w="493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estimate that the net proceeds from this offering and the concurrent private placement will be approximately $189.0 million (or approximately $216.6 million if the underwriters exercise their option to purchase additional shares in full), based upon the initial public offering price of $18.00 per share, after deducting the underwriting discounts and commissions, estimated offering expenses and estimated private placement fees and expenses payable by us. </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We currently intend to use the net proceeds from this offering and the concurrent private placement, together with our existing cash and cash equivalents, to advance the continued development of azelaprag for the treatment of obesity in our ongoing STRIDES clinical trial in combination with tirzepatide, a Phase 2 clinical trial in combination with semaglutide, and the manufacture of drug products to support Phase 3 clinical trials sufficient for registration; the initiation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04"/>
        <w:gridCol w:w="120"/>
        <w:gridCol w:w="4981"/>
      </w:tblGrid>
      <w:tr>
        <w:trPr/>
        <w:tc>
          <w:tcPr>
            <w:tcW w:w="51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0"/>
              <w:jc w:val="both"/>
              <w:rPr>
                <w:rFonts w:ascii="Times New Roman" w:hAnsi="Times New Roman"/>
                <w:sz w:val="20"/>
              </w:rPr>
            </w:pPr>
            <w:r>
              <w:rPr>
                <w:rFonts w:ascii="Times New Roman" w:hAnsi="Times New Roman"/>
                <w:sz w:val="20"/>
              </w:rPr>
              <w:t>of an insulin sensitivity proof-of-concept trial of azaelaprag monotherapy; to advance the clinical development of an NLRP3 inhibitor for the treatment of neuroinflammation through the submission of an IND for an NLRP3 inhibitor, and, if cleared, the initiation of a Phase 1 clinical trial, as well as for other research and development activities and potential expansion of our pipeline, as well as for working capital and other general corporate purposes.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See the section titled Use of Proceeds for additional information.</w:t>
            </w:r>
          </w:p>
        </w:tc>
      </w:tr>
      <w:tr>
        <w:trPr>
          <w:trHeight w:val="75"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0"/>
              <w:jc w:val="both"/>
              <w:rPr/>
            </w:pPr>
            <w:r>
              <w:rPr>
                <w:rFonts w:ascii="Times New Roman" w:hAnsi="Times New Roman"/>
                <w:sz w:val="20"/>
              </w:rPr>
              <w:t>Investing in our common stock involves a high degree of risk. You should read the section titled </w:t>
            </w:r>
            <w:hyperlink w:anchor="toc835745_2">
              <w:r>
                <w:rPr>
                  <w:rStyle w:val="InternetLink"/>
                  <w:rFonts w:ascii="Times New Roman" w:hAnsi="Times New Roman"/>
                  <w:sz w:val="20"/>
                </w:rPr>
                <w:t>Risk Factors</w:t>
              </w:r>
            </w:hyperlink>
            <w:r>
              <w:rPr>
                <w:rFonts w:ascii="Times New Roman" w:hAnsi="Times New Roman"/>
                <w:sz w:val="20"/>
              </w:rPr>
              <w:t> in this prospectus for a discussion of factors to consider carefully before deciding to invest in shares of our common stock.</w:t>
            </w:r>
          </w:p>
        </w:tc>
      </w:tr>
      <w:tr>
        <w:trPr>
          <w:trHeight w:val="75"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Directed share program</w:t>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0"/>
              <w:jc w:val="both"/>
              <w:rPr>
                <w:rFonts w:ascii="Times New Roman" w:hAnsi="Times New Roman"/>
                <w:sz w:val="20"/>
              </w:rPr>
            </w:pPr>
            <w:r>
              <w:rPr>
                <w:rFonts w:ascii="Times New Roman" w:hAnsi="Times New Roman"/>
                <w:sz w:val="20"/>
              </w:rPr>
              <w:t>At our request, the underwriters have reserved up to 5% of the shares offered by this prospectus for sale at the initial public offering price to certain individuals through a directed share program, including our directors, officers, employees, and certain of their friends and family business associates and related persons. The sales will be made at our direction by Morgan Stanley &amp; Co. LLC and its affiliates through a directed share program.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our common stock offered by this prospectus. Directors, officers and employees that participate in this directed share program will be subjected to a 180-day lock-up restriction with the representatives and with us with respect to any shares purchased through the directed share program. See the section titled Underwriting for additional information.</w:t>
            </w:r>
          </w:p>
        </w:tc>
      </w:tr>
      <w:tr>
        <w:trPr>
          <w:trHeight w:val="75" w:hRule="atLeast"/>
        </w:trPr>
        <w:tc>
          <w:tcPr>
            <w:tcW w:w="5104" w:type="dxa"/>
            <w:tcBorders/>
            <w:vAlign w:val="center"/>
          </w:tcPr>
          <w:p>
            <w:pPr>
              <w:pStyle w:val="TableContents"/>
              <w:bidi w:val="0"/>
              <w:spacing w:before="0" w:after="283"/>
              <w:jc w:val="left"/>
              <w:rPr>
                <w:sz w:val="4"/>
                <w:szCs w:val="4"/>
              </w:rPr>
            </w:pPr>
            <w:r>
              <w:rPr>
                <w:sz w:val="4"/>
                <w:szCs w:val="4"/>
              </w:rPr>
            </w:r>
          </w:p>
        </w:tc>
        <w:tc>
          <w:tcPr>
            <w:tcW w:w="5101" w:type="dxa"/>
            <w:gridSpan w:val="2"/>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0"/>
              <w:jc w:val="left"/>
              <w:rPr>
                <w:rFonts w:ascii="Times New Roman" w:hAnsi="Times New Roman"/>
                <w:sz w:val="20"/>
              </w:rPr>
            </w:pPr>
            <w:r>
              <w:rPr>
                <w:rFonts w:ascii="Times New Roman" w:hAnsi="Times New Roman"/>
                <w:sz w:val="20"/>
              </w:rPr>
              <w:t>Nasdaq trading symbol</w:t>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0"/>
              <w:jc w:val="both"/>
              <w:rPr>
                <w:rFonts w:ascii="Times New Roman" w:hAnsi="Times New Roman"/>
                <w:sz w:val="20"/>
              </w:rPr>
            </w:pPr>
            <w:r>
              <w:rPr>
                <w:rFonts w:ascii="Times New Roman" w:hAnsi="Times New Roman"/>
                <w:sz w:val="20"/>
              </w:rPr>
              <w:t>BIOA</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and the concurrent private placement is based on 22,578,296 shares of our common stock outstanding as of June 30, 2024, after giving effect to the automatic conversion of all shares of our outstanding redeemable convertible preferred stock as of June 30, 2024 into an aggregate of 20,854,632 shares of our common stock in connection with the completion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4,522,711 shares of our common stock issuable upon the exercise of stock options outstanding as of June 30, 2024 under our 2015 Equity Incentive Plan, as amended (2015 Plan), with a weighted-average exercise price of $8.41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245,245 shares of our common stock issuable upon the exercise of stock options granted after June 30, 2024, under our 2015 Plan, with a weighted-average exercise price of $10.72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424,827 shares of common stock issuable upon the exercise of stock options under 2024 Equity Incentive Plan (2024 Plan) to Dr. Fortney immediately following effectiveness of the registration statement of which this prospectus forms a part at an exercise price equal to the initial public offering price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85,640 shares of common stock issuable upon the exercise of options we granted to certain of our directors and employees under the 2024 Plan immediately following effectiveness of the registration statement of which this prospectus forms a part at an exercise price equal to the initial public offering price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6,722 shares of common stock issuable upon exercise of a warrant outstanding as of June 30, 2024, with an exercise price of $3.22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24,968 shares of common stock issuable upon exercise of warrants outstanding as of June 30, 2024, with an exercise price of $10.27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3,650,000 shares of our common stock reserved for future issuance under our 2024 Plan, which became effective in connection with this offering (including 943,682 shares reserved for issuance under our 2015 Plan which shares will be added to the 2024 Plan upon its effectiveness);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330,000 shares of our common stock to be reserved for future issuance under our 2024 Employee Stock Purchase Plan (ESPP), which became effective in connection with this offering.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2024 Plan and our ESPP provide for automatic annual increases in the number of shares of our common stock reserved thereunder. Such increases are not reflected in the numbers, above. For additional information regarding our 2015 Plan, 2024 Plan and ESPP, see the section titled Executive CompensationEquity Compensation Plans and Other Benefit Plans.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assumes or gives effect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automatic conversion of all shares of our convertible redeemable preferred stock outstanding as of June 30, 2024 into an aggregate of 20,854,632 shares of our common stock in connection with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1-for-4.4626 reverse stock split of our common stock, which we effected on September 17,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588,888 shares of our common stock in the concurrent private placement, which will be completed concurrently with, and is contingent and conditioned upon consummation of,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adoption, filing, and effectiveness of our restated certificate of incorporation and bylaws, each of which will occur immediately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the outstanding options or warrants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by the underwriters of their option to purchase additional shares of our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our summary consolidated statements of operations and comprehensive loss and balance sheet data as of the dates indicated. The summary condensed consolidated statements of operations and comprehensive loss data for the years ended December 31, 2023 and 2022 are derived from our audited consolidated financial statements included elsewhere in this prospectus. The summary consolidated statements of operations and comprehensive loss data for the six months ended June 30, 2024 and 2023, and the summary consolidated balance sheet data as of June 30, 2024, are derived from our unaudited interim condensed consolidated financial statements included elsewhere in this prospectus. The unaudited interim condensed consolidated financial statements have been prepared on the same basis as our annual audited summary consolidated financial statements and, in the opinion of management, reflect all adjustments, which include only normal, recurring adjustments that are necessary to present fairly the unaudited interim condensed consolidated financial statements. The following summary consolidated financial data should be read in conjunction with the section titled Managements Discussion and Analysis of Financial Condition and Results of Operations and our consolidated financial statements and the related notes included elsewhere in this prospectus. Our historical results are not necessarily indicative of the results that may be expected in any future period and results for the six months ended June 30, 2024 are not necessarily indicative of results to be expected for the full year ending December 31, 2024 or any other period. The summary consolidated financial data in this section are not intended to replace our consolidated financial statements and are qualified in their entirety by the consolidated financial statements and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038"/>
        <w:gridCol w:w="297"/>
        <w:gridCol w:w="140"/>
        <w:gridCol w:w="981"/>
        <w:gridCol w:w="155"/>
        <w:gridCol w:w="253"/>
        <w:gridCol w:w="140"/>
        <w:gridCol w:w="981"/>
        <w:gridCol w:w="155"/>
        <w:gridCol w:w="253"/>
        <w:gridCol w:w="140"/>
        <w:gridCol w:w="981"/>
        <w:gridCol w:w="154"/>
        <w:gridCol w:w="253"/>
        <w:gridCol w:w="140"/>
        <w:gridCol w:w="981"/>
        <w:gridCol w:w="163"/>
      </w:tblGrid>
      <w:tr>
        <w:trPr/>
        <w:tc>
          <w:tcPr>
            <w:tcW w:w="4038"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3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6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49" w:type="dxa"/>
            <w:gridSpan w:val="6"/>
            <w:tcBorders/>
            <w:vAlign w:val="bottom"/>
          </w:tcPr>
          <w:p>
            <w:pPr>
              <w:pStyle w:val="TableContents"/>
              <w:bidi w:val="0"/>
              <w:spacing w:before="0" w:after="283"/>
              <w:jc w:val="center"/>
              <w:rPr>
                <w:b/>
              </w:rPr>
            </w:pPr>
            <w:r>
              <w:rPr>
                <w:b/>
              </w:rPr>
              <w:t>(unaudited)</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5707" w:type="dxa"/>
            <w:gridSpan w:val="14"/>
            <w:tcBorders/>
            <w:vAlign w:val="bottom"/>
          </w:tcPr>
          <w:p>
            <w:pPr>
              <w:pStyle w:val="TableContents"/>
              <w:bidi w:val="0"/>
              <w:spacing w:before="0" w:after="283"/>
              <w:jc w:val="center"/>
              <w:rPr>
                <w:b/>
              </w:rPr>
            </w:pPr>
            <w:r>
              <w:rPr>
                <w:b/>
              </w:rPr>
              <w:t>(in thousands, except share and per share amounts)</w:t>
            </w:r>
          </w:p>
        </w:tc>
        <w:tc>
          <w:tcPr>
            <w:tcW w:w="163" w:type="dxa"/>
            <w:tcBorders/>
            <w:vAlign w:val="bottom"/>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and Comprehensive Loss Data:</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33,886</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30,522</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19,792</w:t>
            </w:r>
          </w:p>
        </w:tc>
        <w:tc>
          <w:tcPr>
            <w:tcW w:w="15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17,272</w:t>
            </w:r>
          </w:p>
        </w:tc>
        <w:tc>
          <w:tcPr>
            <w:tcW w:w="163" w:type="dxa"/>
            <w:tcBorders/>
            <w:shd w:fill="CCEEFF" w:val="clear"/>
            <w:vAlign w:val="bottom"/>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14,514</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9,447</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8,290</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7,645</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48,400</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39,969</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28,082</w:t>
            </w:r>
          </w:p>
        </w:tc>
        <w:tc>
          <w:tcPr>
            <w:tcW w:w="15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24,917</w:t>
            </w:r>
          </w:p>
        </w:tc>
        <w:tc>
          <w:tcPr>
            <w:tcW w:w="163" w:type="dxa"/>
            <w:tcBorders/>
            <w:shd w:fill="CCEEFF" w:val="clear"/>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(48,400</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(39,969</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(28,082</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(24,917</w:t>
            </w:r>
          </w:p>
        </w:tc>
        <w:tc>
          <w:tcPr>
            <w:tcW w:w="163" w:type="dxa"/>
            <w:tcBorders/>
            <w:vAlign w:val="bottom"/>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(7,794</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(1,660</w:t>
            </w:r>
          </w:p>
        </w:tc>
        <w:tc>
          <w:tcPr>
            <w:tcW w:w="15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(2,832</w:t>
            </w:r>
          </w:p>
        </w:tc>
        <w:tc>
          <w:tcPr>
            <w:tcW w:w="163" w:type="dxa"/>
            <w:tcBorders/>
            <w:shd w:fill="CCEEFF" w:val="clear"/>
            <w:vAlign w:val="bottom"/>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2,431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465</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3,497</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1,553</w:t>
            </w:r>
          </w:p>
        </w:tc>
        <w:tc>
          <w:tcPr>
            <w:tcW w:w="163" w:type="dxa"/>
            <w:tcBorders/>
            <w:vAlign w:val="bottom"/>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changes in fair value on derivative liability and warrants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(10,091</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(78</w:t>
            </w:r>
          </w:p>
        </w:tc>
        <w:tc>
          <w:tcPr>
            <w:tcW w:w="15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(2,075</w:t>
            </w:r>
          </w:p>
        </w:tc>
        <w:tc>
          <w:tcPr>
            <w:tcW w:w="163" w:type="dxa"/>
            <w:tcBorders/>
            <w:shd w:fill="CCEEFF" w:val="clear"/>
            <w:vAlign w:val="bottom"/>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promissory notes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(250</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(15,454</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247</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1,509</w:t>
            </w:r>
          </w:p>
        </w:tc>
        <w:tc>
          <w:tcPr>
            <w:tcW w:w="15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(3,354</w:t>
            </w:r>
          </w:p>
        </w:tc>
        <w:tc>
          <w:tcPr>
            <w:tcW w:w="163" w:type="dxa"/>
            <w:tcBorders/>
            <w:shd w:fill="CCEEFF" w:val="clear"/>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(63,854</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(39,722</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(26,573</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(28,271</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diluted(1)</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(38.17</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(23.76</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(15.70</w:t>
            </w:r>
          </w:p>
        </w:tc>
        <w:tc>
          <w:tcPr>
            <w:tcW w:w="15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(16.90</w:t>
            </w:r>
          </w:p>
        </w:tc>
        <w:tc>
          <w:tcPr>
            <w:tcW w:w="163" w:type="dxa"/>
            <w:tcBorders/>
            <w:shd w:fill="CCEEFF" w:val="clear"/>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diluted(1)</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1,672,793</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1,671,761</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1,692,238</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1,672,697</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(63,854</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(39,722</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(26,573</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(28,271</w:t>
            </w:r>
          </w:p>
        </w:tc>
        <w:tc>
          <w:tcPr>
            <w:tcW w:w="163" w:type="dxa"/>
            <w:tcBorders/>
            <w:vAlign w:val="bottom"/>
          </w:tcPr>
          <w:p>
            <w:pPr>
              <w:pStyle w:val="TableContents"/>
              <w:bidi w:val="0"/>
              <w:spacing w:before="0" w:after="283"/>
              <w:jc w:val="left"/>
              <w:rPr/>
            </w:pPr>
            <w:r>
              <w:rPr/>
              <w:t>) </w:t>
            </w:r>
          </w:p>
        </w:tc>
      </w:tr>
      <w:tr>
        <w:trPr/>
        <w:tc>
          <w:tcPr>
            <w:tcW w:w="4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translation adjustment</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246</w:t>
            </w:r>
          </w:p>
        </w:tc>
        <w:tc>
          <w:tcPr>
            <w:tcW w:w="15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w:t>
            </w:r>
          </w:p>
        </w:tc>
        <w:tc>
          <w:tcPr>
            <w:tcW w:w="15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32</w:t>
            </w:r>
          </w:p>
        </w:tc>
        <w:tc>
          <w:tcPr>
            <w:tcW w:w="163" w:type="dxa"/>
            <w:tcBorders/>
            <w:shd w:fill="CCEEFF" w:val="clear"/>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038"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(63,857</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(39,476</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(26,570</w:t>
            </w:r>
          </w:p>
        </w:tc>
        <w:tc>
          <w:tcPr>
            <w:tcW w:w="15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(28,239</w:t>
            </w:r>
          </w:p>
        </w:tc>
        <w:tc>
          <w:tcPr>
            <w:tcW w:w="163" w:type="dxa"/>
            <w:tcBorders/>
            <w:vAlign w:val="bottom"/>
          </w:tcPr>
          <w:p>
            <w:pPr>
              <w:pStyle w:val="TableContents"/>
              <w:bidi w:val="0"/>
              <w:spacing w:before="0" w:after="283"/>
              <w:jc w:val="left"/>
              <w:rPr/>
            </w:pPr>
            <w:r>
              <w:rPr/>
              <w:t>) </w:t>
            </w:r>
          </w:p>
        </w:tc>
      </w:tr>
      <w:tr>
        <w:trPr/>
        <w:tc>
          <w:tcPr>
            <w:tcW w:w="4038"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648"/>
        <w:gridCol w:w="363"/>
        <w:gridCol w:w="140"/>
        <w:gridCol w:w="982"/>
        <w:gridCol w:w="155"/>
        <w:gridCol w:w="311"/>
        <w:gridCol w:w="140"/>
        <w:gridCol w:w="982"/>
        <w:gridCol w:w="155"/>
        <w:gridCol w:w="311"/>
        <w:gridCol w:w="140"/>
        <w:gridCol w:w="1129"/>
        <w:gridCol w:w="155"/>
        <w:gridCol w:w="311"/>
        <w:gridCol w:w="140"/>
        <w:gridCol w:w="982"/>
        <w:gridCol w:w="161"/>
      </w:tblGrid>
      <w:tr>
        <w:trPr/>
        <w:tc>
          <w:tcPr>
            <w:tcW w:w="3648"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48"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857" w:type="dxa"/>
            <w:gridSpan w:val="6"/>
            <w:tcBorders/>
            <w:vAlign w:val="bottom"/>
          </w:tcPr>
          <w:p>
            <w:pPr>
              <w:pStyle w:val="TableContents"/>
              <w:bidi w:val="0"/>
              <w:spacing w:before="0" w:after="283"/>
              <w:jc w:val="center"/>
              <w:rPr>
                <w:b/>
              </w:rPr>
            </w:pPr>
            <w:r>
              <w:rPr>
                <w:b/>
              </w:rPr>
              <w:t>(unaudited)</w:t>
            </w:r>
          </w:p>
        </w:tc>
        <w:tc>
          <w:tcPr>
            <w:tcW w:w="161" w:type="dxa"/>
            <w:tcBorders/>
            <w:vAlign w:val="bottom"/>
          </w:tcPr>
          <w:p>
            <w:pPr>
              <w:pStyle w:val="TableContents"/>
              <w:bidi w:val="0"/>
              <w:spacing w:before="0" w:after="283"/>
              <w:jc w:val="left"/>
              <w:rPr/>
            </w:pPr>
            <w:r>
              <w:rPr/>
              <w:t> </w:t>
            </w:r>
          </w:p>
        </w:tc>
      </w:tr>
      <w:tr>
        <w:trPr/>
        <w:tc>
          <w:tcPr>
            <w:tcW w:w="3648"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6033" w:type="dxa"/>
            <w:gridSpan w:val="14"/>
            <w:tcBorders/>
            <w:vAlign w:val="bottom"/>
          </w:tcPr>
          <w:p>
            <w:pPr>
              <w:pStyle w:val="TableContents"/>
              <w:bidi w:val="0"/>
              <w:spacing w:before="0" w:after="283"/>
              <w:jc w:val="center"/>
              <w:rPr>
                <w:b/>
              </w:rPr>
            </w:pPr>
            <w:r>
              <w:rPr>
                <w:b/>
              </w:rPr>
              <w:t>(in thousands, except share and per share amounts)</w:t>
            </w:r>
          </w:p>
        </w:tc>
        <w:tc>
          <w:tcPr>
            <w:tcW w:w="161" w:type="dxa"/>
            <w:tcBorders/>
            <w:vAlign w:val="bottom"/>
          </w:tcPr>
          <w:p>
            <w:pPr>
              <w:pStyle w:val="TableContents"/>
              <w:bidi w:val="0"/>
              <w:spacing w:before="0" w:after="283"/>
              <w:jc w:val="left"/>
              <w:rPr/>
            </w:pPr>
            <w:r>
              <w:rPr/>
              <w:t> </w:t>
            </w:r>
          </w:p>
        </w:tc>
      </w:tr>
      <w:tr>
        <w:trPr/>
        <w:tc>
          <w:tcPr>
            <w:tcW w:w="3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Unaudited pro forma net loss per share of common stock, basic and diluted(2)</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(23.76</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(1.32</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(3.26</w:t>
            </w:r>
          </w:p>
        </w:tc>
        <w:tc>
          <w:tcPr>
            <w:tcW w:w="161" w:type="dxa"/>
            <w:tcBorders/>
            <w:shd w:fill="CCEEFF" w:val="clear"/>
            <w:vAlign w:val="bottom"/>
          </w:tcPr>
          <w:p>
            <w:pPr>
              <w:pStyle w:val="TableContents"/>
              <w:bidi w:val="0"/>
              <w:spacing w:before="0" w:after="283"/>
              <w:jc w:val="left"/>
              <w:rPr/>
            </w:pPr>
            <w:r>
              <w:rPr/>
              <w:t>) </w:t>
            </w:r>
          </w:p>
        </w:tc>
      </w:tr>
      <w:tr>
        <w:trPr/>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Unaudited pro forma weighted-average shares outstanding, basic and diluted(2)</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8,704,292</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1,671,761</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20,119,816</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8,684,559</w:t>
            </w:r>
          </w:p>
        </w:tc>
        <w:tc>
          <w:tcPr>
            <w:tcW w:w="161"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See Note 11 to our audited consolidated financial statements and unaudited condensed consolidated financial statements included elsewhere in this prospectus for further details on the calculation of historical net loss per share and the weighted-average number of shares of common stock used in the computation of the per share amounts.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unaudited pro forma basic and diluted net loss per share attributable to common stockholders for the year ended December 31, 2023 was computed using the weighted-average number of shares of common stock outstanding, including the pro forma effect of the automatic conversion of all outstanding shares of our redeemable convertible preferred stock into shares of our common stock on the later of January 1, 2023 or the date the shares were issued.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128"/>
        <w:gridCol w:w="348"/>
        <w:gridCol w:w="176"/>
        <w:gridCol w:w="1104"/>
        <w:gridCol w:w="195"/>
        <w:gridCol w:w="311"/>
        <w:gridCol w:w="227"/>
        <w:gridCol w:w="1324"/>
        <w:gridCol w:w="75"/>
        <w:gridCol w:w="373"/>
        <w:gridCol w:w="276"/>
        <w:gridCol w:w="1603"/>
        <w:gridCol w:w="65"/>
      </w:tblGrid>
      <w:tr>
        <w:trPr/>
        <w:tc>
          <w:tcPr>
            <w:tcW w:w="4128"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28"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6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June 30, 2024</w:t>
            </w:r>
          </w:p>
        </w:tc>
        <w:tc>
          <w:tcPr>
            <w:tcW w:w="65" w:type="dxa"/>
            <w:tcBorders/>
            <w:vAlign w:val="bottom"/>
          </w:tcPr>
          <w:p>
            <w:pPr>
              <w:pStyle w:val="TableContents"/>
              <w:bidi w:val="0"/>
              <w:spacing w:before="0" w:after="283"/>
              <w:jc w:val="left"/>
              <w:rPr/>
            </w:pPr>
            <w:r>
              <w:rPr/>
              <w:t> </w:t>
            </w:r>
          </w:p>
        </w:tc>
      </w:tr>
      <w:tr>
        <w:trPr/>
        <w:tc>
          <w:tcPr>
            <w:tcW w:w="4128"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9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Forma(1) </w:t>
            </w:r>
          </w:p>
        </w:tc>
        <w:tc>
          <w:tcPr>
            <w:tcW w:w="7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Adjusted(2)</w:t>
            </w:r>
          </w:p>
        </w:tc>
        <w:tc>
          <w:tcPr>
            <w:tcW w:w="65" w:type="dxa"/>
            <w:tcBorders/>
            <w:vAlign w:val="bottom"/>
          </w:tcPr>
          <w:p>
            <w:pPr>
              <w:pStyle w:val="TableContents"/>
              <w:bidi w:val="0"/>
              <w:spacing w:before="0" w:after="283"/>
              <w:jc w:val="left"/>
              <w:rPr/>
            </w:pPr>
            <w:r>
              <w:rPr/>
              <w:t> </w:t>
            </w:r>
          </w:p>
        </w:tc>
      </w:tr>
      <w:tr>
        <w:trPr/>
        <w:tc>
          <w:tcPr>
            <w:tcW w:w="4128"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51" w:type="dxa"/>
            <w:gridSpan w:val="2"/>
            <w:tcBorders/>
            <w:vAlign w:val="bottom"/>
          </w:tcPr>
          <w:p>
            <w:pPr>
              <w:pStyle w:val="TableContents"/>
              <w:bidi w:val="0"/>
              <w:spacing w:before="0" w:after="283"/>
              <w:jc w:val="center"/>
              <w:rPr>
                <w:b/>
              </w:rPr>
            </w:pPr>
            <w:r>
              <w:rPr>
                <w:b/>
              </w:rPr>
              <w:t>(unaudited)</w:t>
            </w:r>
          </w:p>
        </w:tc>
        <w:tc>
          <w:tcPr>
            <w:tcW w:w="7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879"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128"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664" w:type="dxa"/>
            <w:gridSpan w:val="10"/>
            <w:tcBorders/>
            <w:vAlign w:val="bottom"/>
          </w:tcPr>
          <w:p>
            <w:pPr>
              <w:pStyle w:val="TableContents"/>
              <w:bidi w:val="0"/>
              <w:spacing w:before="0" w:after="283"/>
              <w:jc w:val="center"/>
              <w:rPr>
                <w:b/>
              </w:rPr>
            </w:pPr>
            <w:r>
              <w:rPr>
                <w:b/>
              </w:rPr>
              <w:t>(in thousands, except share and per share amounts)</w:t>
            </w:r>
          </w:p>
        </w:tc>
        <w:tc>
          <w:tcPr>
            <w:tcW w:w="65" w:type="dxa"/>
            <w:tcBorders/>
            <w:vAlign w:val="bottom"/>
          </w:tcPr>
          <w:p>
            <w:pPr>
              <w:pStyle w:val="TableContents"/>
              <w:bidi w:val="0"/>
              <w:spacing w:before="0" w:after="283"/>
              <w:jc w:val="left"/>
              <w:rPr/>
            </w:pPr>
            <w:r>
              <w:rPr/>
              <w:t> </w:t>
            </w:r>
          </w:p>
        </w:tc>
      </w:tr>
      <w:tr>
        <w:trPr/>
        <w:tc>
          <w:tcPr>
            <w:tcW w:w="41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34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60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12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4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159,085</w:t>
            </w:r>
          </w:p>
        </w:tc>
        <w:tc>
          <w:tcPr>
            <w:tcW w:w="19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159,085</w:t>
            </w:r>
          </w:p>
        </w:tc>
        <w:tc>
          <w:tcPr>
            <w:tcW w:w="7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603" w:type="dxa"/>
            <w:tcBorders/>
            <w:vAlign w:val="bottom"/>
          </w:tcPr>
          <w:p>
            <w:pPr>
              <w:pStyle w:val="TableContents"/>
              <w:bidi w:val="0"/>
              <w:spacing w:before="0" w:after="283"/>
              <w:jc w:val="right"/>
              <w:rPr/>
            </w:pPr>
            <w:r>
              <w:rPr/>
              <w:t>348,995</w:t>
            </w:r>
          </w:p>
        </w:tc>
        <w:tc>
          <w:tcPr>
            <w:tcW w:w="65" w:type="dxa"/>
            <w:tcBorders/>
            <w:vAlign w:val="bottom"/>
          </w:tcPr>
          <w:p>
            <w:pPr>
              <w:pStyle w:val="TableContents"/>
              <w:bidi w:val="0"/>
              <w:spacing w:before="0" w:after="283"/>
              <w:jc w:val="left"/>
              <w:rPr/>
            </w:pPr>
            <w:r>
              <w:rPr/>
              <w:t> </w:t>
            </w:r>
          </w:p>
        </w:tc>
      </w:tr>
      <w:tr>
        <w:trPr/>
        <w:tc>
          <w:tcPr>
            <w:tcW w:w="4128"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Term loan, net of current portion</w:t>
            </w:r>
          </w:p>
        </w:tc>
        <w:tc>
          <w:tcPr>
            <w:tcW w:w="34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5,371</w:t>
            </w:r>
          </w:p>
        </w:tc>
        <w:tc>
          <w:tcPr>
            <w:tcW w:w="19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5,371</w:t>
            </w:r>
          </w:p>
        </w:tc>
        <w:tc>
          <w:tcPr>
            <w:tcW w:w="7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603" w:type="dxa"/>
            <w:tcBorders/>
            <w:shd w:fill="CCEEFF" w:val="clear"/>
            <w:vAlign w:val="bottom"/>
          </w:tcPr>
          <w:p>
            <w:pPr>
              <w:pStyle w:val="TableContents"/>
              <w:bidi w:val="0"/>
              <w:spacing w:before="0" w:after="283"/>
              <w:jc w:val="right"/>
              <w:rPr/>
            </w:pPr>
            <w:r>
              <w:rPr/>
              <w:t>5,371</w:t>
            </w:r>
          </w:p>
        </w:tc>
        <w:tc>
          <w:tcPr>
            <w:tcW w:w="65" w:type="dxa"/>
            <w:tcBorders/>
            <w:shd w:fill="CCEEFF" w:val="clear"/>
            <w:vAlign w:val="bottom"/>
          </w:tcPr>
          <w:p>
            <w:pPr>
              <w:pStyle w:val="TableContents"/>
              <w:bidi w:val="0"/>
              <w:spacing w:before="0" w:after="283"/>
              <w:jc w:val="left"/>
              <w:rPr/>
            </w:pPr>
            <w:r>
              <w:rPr/>
              <w:t> </w:t>
            </w:r>
          </w:p>
        </w:tc>
      </w:tr>
      <w:tr>
        <w:trPr/>
        <w:tc>
          <w:tcPr>
            <w:tcW w:w="4128"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capital(3)</w:t>
            </w:r>
          </w:p>
        </w:tc>
        <w:tc>
          <w:tcPr>
            <w:tcW w:w="34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150,671</w:t>
            </w:r>
          </w:p>
        </w:tc>
        <w:tc>
          <w:tcPr>
            <w:tcW w:w="19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150,671</w:t>
            </w:r>
          </w:p>
        </w:tc>
        <w:tc>
          <w:tcPr>
            <w:tcW w:w="7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603" w:type="dxa"/>
            <w:tcBorders/>
            <w:vAlign w:val="bottom"/>
          </w:tcPr>
          <w:p>
            <w:pPr>
              <w:pStyle w:val="TableContents"/>
              <w:bidi w:val="0"/>
              <w:spacing w:before="0" w:after="283"/>
              <w:jc w:val="right"/>
              <w:rPr/>
            </w:pPr>
            <w:r>
              <w:rPr/>
              <w:t>339,669</w:t>
            </w:r>
          </w:p>
        </w:tc>
        <w:tc>
          <w:tcPr>
            <w:tcW w:w="65" w:type="dxa"/>
            <w:tcBorders/>
            <w:vAlign w:val="bottom"/>
          </w:tcPr>
          <w:p>
            <w:pPr>
              <w:pStyle w:val="TableContents"/>
              <w:bidi w:val="0"/>
              <w:spacing w:before="0" w:after="283"/>
              <w:jc w:val="left"/>
              <w:rPr/>
            </w:pPr>
            <w:r>
              <w:rPr/>
              <w:t> </w:t>
            </w:r>
          </w:p>
        </w:tc>
      </w:tr>
      <w:tr>
        <w:trPr/>
        <w:tc>
          <w:tcPr>
            <w:tcW w:w="41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4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164,402</w:t>
            </w:r>
          </w:p>
        </w:tc>
        <w:tc>
          <w:tcPr>
            <w:tcW w:w="19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164,402</w:t>
            </w:r>
          </w:p>
        </w:tc>
        <w:tc>
          <w:tcPr>
            <w:tcW w:w="7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603" w:type="dxa"/>
            <w:tcBorders/>
            <w:shd w:fill="CCEEFF" w:val="clear"/>
            <w:vAlign w:val="bottom"/>
          </w:tcPr>
          <w:p>
            <w:pPr>
              <w:pStyle w:val="TableContents"/>
              <w:bidi w:val="0"/>
              <w:spacing w:before="0" w:after="283"/>
              <w:jc w:val="right"/>
              <w:rPr/>
            </w:pPr>
            <w:r>
              <w:rPr/>
              <w:t>351,715</w:t>
            </w:r>
          </w:p>
        </w:tc>
        <w:tc>
          <w:tcPr>
            <w:tcW w:w="65" w:type="dxa"/>
            <w:tcBorders/>
            <w:shd w:fill="CCEEFF" w:val="clear"/>
            <w:vAlign w:val="bottom"/>
          </w:tcPr>
          <w:p>
            <w:pPr>
              <w:pStyle w:val="TableContents"/>
              <w:bidi w:val="0"/>
              <w:spacing w:before="0" w:after="283"/>
              <w:jc w:val="left"/>
              <w:rPr/>
            </w:pPr>
            <w:r>
              <w:rPr/>
              <w:t> </w:t>
            </w:r>
          </w:p>
        </w:tc>
      </w:tr>
      <w:tr>
        <w:trPr/>
        <w:tc>
          <w:tcPr>
            <w:tcW w:w="4128" w:type="dxa"/>
            <w:tcBorders/>
          </w:tcPr>
          <w:p>
            <w:pPr>
              <w:pStyle w:val="TableContents"/>
              <w:bidi w:val="0"/>
              <w:spacing w:before="0" w:after="0"/>
              <w:jc w:val="left"/>
              <w:rPr>
                <w:rFonts w:ascii="Times New Roman" w:hAnsi="Times New Roman"/>
                <w:sz w:val="20"/>
              </w:rPr>
            </w:pPr>
            <w:r>
              <w:rPr>
                <w:rFonts w:ascii="Times New Roman" w:hAnsi="Times New Roman"/>
                <w:sz w:val="20"/>
              </w:rPr>
              <w:t>Total redeemable convertible preferred stock</w:t>
            </w:r>
          </w:p>
        </w:tc>
        <w:tc>
          <w:tcPr>
            <w:tcW w:w="34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342,831</w:t>
            </w:r>
          </w:p>
        </w:tc>
        <w:tc>
          <w:tcPr>
            <w:tcW w:w="19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03"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1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34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(197,131</w:t>
            </w:r>
          </w:p>
        </w:tc>
        <w:tc>
          <w:tcPr>
            <w:tcW w:w="19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145,700</w:t>
            </w:r>
          </w:p>
        </w:tc>
        <w:tc>
          <w:tcPr>
            <w:tcW w:w="7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603" w:type="dxa"/>
            <w:tcBorders/>
            <w:shd w:fill="CCEEFF" w:val="clear"/>
            <w:vAlign w:val="bottom"/>
          </w:tcPr>
          <w:p>
            <w:pPr>
              <w:pStyle w:val="TableContents"/>
              <w:bidi w:val="0"/>
              <w:spacing w:before="0" w:after="283"/>
              <w:jc w:val="right"/>
              <w:rPr/>
            </w:pPr>
            <w:r>
              <w:rPr/>
              <w:t>334,698</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Pro forma amounts give effect to the automatic conversion of all outstanding shares of our redeemable convertible preferred stock as of June 30, 2024 into an aggregate of 20,854,632 shares of our common stock and the related reclassification of the carrying value of the redeemable convertible preferred stock to permanent equity immediately prior to the completion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Pro forma as adjusted amounts reflect pro forma adjustments described in footnote (1) above, as well as the sale of 11,000,000 shares of our common stock in this offering and 588,888 shares in the concurrent private placement, based upon the initial public offering price of $18.00 per share, after deducting the underwriting discounts and commissions, estimated offering expenses and estimated private placement fees and expenses.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We define working capital as current assets less current liabilities. See our audited consolidated financial statements and unaudited condensed consolidated financial statements and the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835745_2"/>
      <w:bookmarkEnd w:id="4"/>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Investing in our common stock involves a high degree of risk. Before making your decision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consolidated financial statements and the related notes included elsewhere in this prospectus.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Limited Operating History and Need for Additional Capital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 </w:t>
      </w:r>
    </w:p>
    <w:p>
      <w:pPr>
        <w:pStyle w:val="TextBody"/>
        <w:bidi w:val="0"/>
        <w:spacing w:before="120" w:after="0"/>
        <w:jc w:val="both"/>
        <w:rPr>
          <w:rFonts w:ascii="Times New Roman" w:hAnsi="Times New Roman"/>
          <w:sz w:val="20"/>
        </w:rPr>
      </w:pPr>
      <w:r>
        <w:rPr>
          <w:rFonts w:ascii="Times New Roman" w:hAnsi="Times New Roman"/>
          <w:sz w:val="20"/>
        </w:rPr>
        <w:t xml:space="preserve">We are a clinical-stage biopharmaceutical company with a limited operating history on which to base your investment decision.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We commenced operations in 2015, have no products approved for commercial sale and have never generated any revenue. To date, we have devoted substantially all of our resources to identifying, acquiring and developing our product candidates and licensed technologies, building our pipeline, performing research, conducting preclinical studies and early-stage clinical trials,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 </w:t>
      </w:r>
    </w:p>
    <w:p>
      <w:pPr>
        <w:pStyle w:val="TextBody"/>
        <w:bidi w:val="0"/>
        <w:spacing w:before="240" w:after="0"/>
        <w:jc w:val="both"/>
        <w:rPr>
          <w:rFonts w:ascii="Times New Roman" w:hAnsi="Times New Roman"/>
          <w:sz w:val="20"/>
        </w:rPr>
      </w:pPr>
      <w:r>
        <w:rPr>
          <w:rFonts w:ascii="Times New Roman" w:hAnsi="Times New Roman"/>
          <w:sz w:val="20"/>
        </w:rPr>
        <w:t xml:space="preserve">To date, we have funded our operations with proceeds from sales of our redeemable convertible preferred stock, convertible notes and proceeds from stock option exercises. From inception through June 30, 2024, we received an aggregate of $293.8 million in gross proceeds from sales of our redeemable convertible preferred stock, an aggregate of $26.4 million in gross proceeds from sales of our convertible notes, and $0.5 million in proceeds from stock option exercises. </w:t>
      </w:r>
    </w:p>
    <w:p>
      <w:pPr>
        <w:pStyle w:val="TextBody"/>
        <w:bidi w:val="0"/>
        <w:spacing w:before="240" w:after="0"/>
        <w:jc w:val="both"/>
        <w:rPr>
          <w:rFonts w:ascii="Times New Roman" w:hAnsi="Times New Roman"/>
          <w:sz w:val="20"/>
        </w:rPr>
      </w:pPr>
      <w:r>
        <w:rPr>
          <w:rFonts w:ascii="Times New Roman" w:hAnsi="Times New Roman"/>
          <w:sz w:val="20"/>
        </w:rPr>
        <w:t xml:space="preserve">We have not yet demonstrated an ability to successfully complete any clinical trials beyond our Phase 1 and Phase 1b clinical trials for azelaprag,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encounter unforeseen expenses, difficulties, complications, delays and other known and unknown factors and risks frequently experienced by clinical-stage biopharmaceutical companies.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significant operating losses since our inception and expect to incur significant losses for the foreseeable future. We do not have any products approved for sale and have not generated any product revenue since our inception. If our lead product candidate, azelaprag, nor any future product candidates are successfully developed, approved and commercialized, we may never generate significant revenue, if we generate any revenue at all. Our net losses were $63.9 million and $39.7 million for the years ended December 31, 2023 and 2022, respectively, and $26.6 million and $28.3 million for the six months ended June 30, 2024 and 2023, respectively. As of June 30, 2024, we had an accumulated deficit of $208.3 million. Substantially all of our losses have resulted from expenses incurred in connection with the development of, and in-licensing of intellectual property related to, azelaprag, the research and development of our NLRP3 program, our longitudinal human aging platform and from general and administrative costs associated with our operations. Azelaprag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in connection with our additional ongoing and planned clinical trials for azelaprag including our ongoing STRIDES clinical trial for azelaprag in combination with tirzepatide and our planned Phase 2 clinical trial in combination with semaglutide, our planned initiation of an insulin sensitivity proof-of-concept trial of azelaprag monotherapy to support potential indication expansion; and our planned IND submission and Phase 1 clinical trial for an NLRP3 inhibitor for the treatment of neuroinflammation; and as we continue our development of, seek regulatory approval for and potentially commercialize azelaprag and any future product candidates we may develop and become a public company.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May 2022, we entered into a loan and security agreement (the Loan Agreement) with SVB Innovative Credit Growth Fund IX, LP and Innovative Credit Growth Fund VIII-A, LP (collectively, the Lenders) pursuant to which we were able to borrow up to an aggregate of $25.0 million across two potential tranches until December 31, 2023 (the Term Loan). The Term Loan is secured by a lien covering substantially all of our assets, but not including our intellectual property or non-assignable licenses. In connection with the Term Loan, the Lenders were concurrently issued warrants to purchase 24,968 shares of our common stock at an exercise price of $10.27 per share, with a term of 10 years. The Loan Agreement required us to pay monthly interest payments until November 1, 2023, after which we commenced monthly principal payments. As of June 30, 2024 we had $11.0 million outstanding principal under the Term Loan. The Term Loan matures by April 1, 2026. For additional information about the Loan Agreement, see Note 5 to our audited consolidated financial statements and unaudited condensed consolidated financial statements included elsewhere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of azelaprag and identifying, discovering, developing, in-licensing or acquiring any future product candidates, obtaining regulatory approval for azelaprag and any future product candidates, and manufacturing, marketing, and selling any products for which we may obtain regulatory approval. We are only in the preliminary stages of these activities. We may never succeed in these activities and, even if we do, may never generate revenue that is significant enough to achieve profitability.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Even if this offering and the concurrent private placement are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p>
      <w:pPr>
        <w:pStyle w:val="TextBody"/>
        <w:bidi w:val="0"/>
        <w:spacing w:before="120" w:after="0"/>
        <w:jc w:val="both"/>
        <w:rPr>
          <w:rFonts w:ascii="Times New Roman" w:hAnsi="Times New Roman"/>
          <w:sz w:val="20"/>
        </w:rPr>
      </w:pPr>
      <w:r>
        <w:rPr>
          <w:rFonts w:ascii="Times New Roman" w:hAnsi="Times New Roman"/>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azelaprag and any future product candidates through clinical development. We expect increased expenses as we continue our research and development, continue our clinical trials, initiate additional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Because the outcome of any preclinical study or clinical trial is highly uncertain, we cannot reasonably estimate the actual amount of capital necessary to successfully complete the development and commercialization of our product candidates. Furthermore, upon the closing of this offering, we expect to incur additional costs associated with operating as a public company that we did not incur as a private company. Accordingly, we will need to obtain substantial additional funding in connection with our continuing operations. </w:t>
      </w:r>
    </w:p>
    <w:p>
      <w:pPr>
        <w:pStyle w:val="TextBody"/>
        <w:bidi w:val="0"/>
        <w:spacing w:before="240" w:after="0"/>
        <w:jc w:val="both"/>
        <w:rPr>
          <w:rFonts w:ascii="Times New Roman" w:hAnsi="Times New Roman"/>
          <w:sz w:val="20"/>
        </w:rPr>
      </w:pPr>
      <w:r>
        <w:rPr>
          <w:rFonts w:ascii="Times New Roman" w:hAnsi="Times New Roman"/>
          <w:sz w:val="20"/>
        </w:rPr>
        <w:t xml:space="preserve">We had $159.1 million in cash and cash equivalents as of June 30, 2024. Based on our current operating plan, we believe that the net proceeds from this offering and the concurrent private placement, together with our existing cash and cash equivalents will be sufficient for us to fund our operations into 2029.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be dependent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progress, timing and results of preclinical studies and clinical trials for azelaprag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we develop, in-license or acquire any future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future product candidates and additional indications for our current product candidates we may pursue, and the preclinical studies and clinical trials necessary to develop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timing and outcome of seeking regulatory approvals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and costs of making arrangements with third-party manufacturers, or establishing manufacturing capabilities, for both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involved in growing our organization to the size needed to allow for the research, development and potential commercialization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commercializing any approved product candidates, including establishing sales, marketing, market access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the extent we pursue strategic collaborations, including collaborations to commercialize azelaprag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completing any post-marketing studies or trials required by the U.S. Food and Drug Administration (FDA) or other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revenue, if any, received from commercial sales of azelaprag or any of our future product candidates, if any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associated with potential product liability claims, including the costs associated with obtaining insurance against such claims and with defending against such claims.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Even if this offering and the concurrent private placement are successful, we will require additional capital to complete our planned clinical development programs for our current product candidates in order to seek regulatory approval, and we anticipate needing to raise additional capital to complete the development of, and eventually commercialize, our product candidates, if approved.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240" w:after="0"/>
        <w:jc w:val="both"/>
        <w:rPr>
          <w:rFonts w:ascii="Times New Roman" w:hAnsi="Times New Roman"/>
          <w:sz w:val="20"/>
        </w:rPr>
      </w:pPr>
      <w:r>
        <w:rPr>
          <w:rFonts w:ascii="Times New Roman" w:hAnsi="Times New Roman"/>
          <w:sz w:val="20"/>
        </w:rPr>
        <w:t xml:space="preserve">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 </w:t>
      </w:r>
    </w:p>
    <w:p>
      <w:pPr>
        <w:pStyle w:val="TextBody"/>
        <w:bidi w:val="0"/>
        <w:spacing w:before="240" w:after="0"/>
        <w:jc w:val="both"/>
        <w:rPr>
          <w:rFonts w:ascii="Times New Roman" w:hAnsi="Times New Roman"/>
          <w:sz w:val="20"/>
        </w:rPr>
      </w:pPr>
      <w:r>
        <w:rPr>
          <w:rFonts w:ascii="Times New Roman" w:hAnsi="Times New Roman"/>
          <w:sz w:val="20"/>
        </w:rPr>
        <w:t xml:space="preserve">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preclinical studies, clinical trials or future commercialization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Risk Related to Research, Discovery, Development, Regulatory Approval and Commercialization of our Product Candidates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are substantially dependent on the success of our lead product candidate, azelaprag, which is currently in clinical development, and for which we have not completed a Phase 2 efficacy trial and any future product candidates we may develop. If we are unable to advance the development of, receive regulatory approval for and ultimately successfully commercialize azelaprag or any future product candidates we may develop, or experience significant delays in doing so, our business will be materially harmed. </w:t>
      </w:r>
    </w:p>
    <w:p>
      <w:pPr>
        <w:pStyle w:val="TextBody"/>
        <w:bidi w:val="0"/>
        <w:spacing w:before="240" w:after="0"/>
        <w:jc w:val="both"/>
        <w:rPr>
          <w:rFonts w:ascii="Times New Roman" w:hAnsi="Times New Roman"/>
          <w:sz w:val="20"/>
        </w:rPr>
      </w:pPr>
      <w:r>
        <w:rPr>
          <w:rFonts w:ascii="Times New Roman" w:hAnsi="Times New Roman"/>
          <w:sz w:val="20"/>
        </w:rPr>
        <w:t xml:space="preserve">Our future success is highly dependent on our ability to timely complete successful clinical trials, obtain regulatory approval for, and then successfully commercialize our lead product candidate azelaprag and any future product candidates, which may never occur. We are early in our development efforts with respect to azelaprag, for which we recently completed our Phase 1 and Phase 1b clinical trials. We are developing brain-penetrant structurally novel small molecule inhibitors of NLRP3 that have a novel binding site, which are in earlier stages of development. We currently have no products that are approved for sale in any jurisdiction. There can be no assurance that azelaprag or any future product candidates we develop will achieve success in its respective clinical trials or obtain regulatory approval. We may also become dependent on other product candidates that we may develop or acquire in the future. Given our early stage of development, it may be several years, if at all, before we have demonstrated the safety and efficacy of a product candidate sufficient to warrant approval for commercialization. </w:t>
      </w:r>
    </w:p>
    <w:p>
      <w:pPr>
        <w:pStyle w:val="TextBody"/>
        <w:bidi w:val="0"/>
        <w:spacing w:before="240" w:after="0"/>
        <w:jc w:val="both"/>
        <w:rPr>
          <w:rFonts w:ascii="Times New Roman" w:hAnsi="Times New Roman"/>
          <w:sz w:val="20"/>
        </w:rPr>
      </w:pPr>
      <w:r>
        <w:rPr>
          <w:rFonts w:ascii="Times New Roman" w:hAnsi="Times New Roman"/>
          <w:sz w:val="20"/>
        </w:rPr>
        <w:t xml:space="preserve">Our ability to generate product revenue, which we do not expect will occur for many years, if ever, will be heavily dependent on the successful development and eventual commercialization of azelaprag and any future product candidates. The success of azelaprag and any future product candidates will be dependent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successful and timely completion of preclinical studies and clinical trials demonstrating attractive, competitive target product profiles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clearance of INDs by the FDA or other similar clinical trial applications from other regulatory authorities for our future clinical trials for our pipeline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timely and successful enrollment of patients in, and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demonstration of safety, efficacy and acceptable risk-benefit profiles of our product candidates to the satisfaction of the FDA and other comparable foreign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receipt of regulatory approvals from applicable regulatory authorities, if granted, including the completion of any required post-marketing studies or trials and available funding to perform any post-marketing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raising additional funds necessary to complete clinical development of and commercialize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protecting and enforcing our patent, trade secret and other intellectual property and regulatory exclusivity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making arrangements with third-party manufacturers, or establishing manufacturing capabilities, for both clinical and commercial supplies of our current and future product candidates and ensuring a resilient, effective supply chain that produces supply that outpaces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implementing marketing and reimbursement strategies, as well as adequate demand forecasts for supply and sales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establishing sales, marketing and distribution capabilities and launching commercial sales of our products, if and when approved, whether alone or in collaboration with others in a market where promotional sales approaches are rapidly moving to digital platforms;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demonstration of product characteristics attractive to physicians, patients, advocates, payors and caregivers;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acceptance of our products, if and when approved, by patients, the medical community and third-party payors underpinned by adequate health economic data and a meaningful value proposition;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effectively competing with other therapies, including those that have not yet entered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and maintaining third-party payor coverage and adequate reimbursement in both public and private payor spaces, given the significant number of obese patients in the United States who my benefit from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appropriate support from patient advocacy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addressing any delays in our clinical trials resulting from any major natural disasters, health pandemics or significant political events;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maintaining a continued acceptable safety profile of the products following approval.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or planned clinical trials of azelaprag show unexpected adverse events or a lack of efficacy in the indications we intend to treat or do not meet the clinical endpoints, or if we experience other regulatory or developmental issues. </w:t>
      </w:r>
    </w:p>
    <w:p>
      <w:pPr>
        <w:pStyle w:val="TextBody"/>
        <w:bidi w:val="0"/>
        <w:spacing w:before="360" w:after="0"/>
        <w:jc w:val="both"/>
        <w:rPr>
          <w:rFonts w:ascii="Times New Roman" w:hAnsi="Times New Roman"/>
          <w:b/>
          <w:i/>
          <w:sz w:val="20"/>
        </w:rPr>
      </w:pPr>
      <w:r>
        <w:rPr>
          <w:rFonts w:ascii="Times New Roman" w:hAnsi="Times New Roman"/>
          <w:b/>
          <w:i/>
          <w:sz w:val="20"/>
        </w:rPr>
        <w:t xml:space="preserve">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or our attractiveness as a commercial partner, and may ultimately have an impact on our commercial success. </w:t>
      </w:r>
    </w:p>
    <w:p>
      <w:pPr>
        <w:pStyle w:val="TextBody"/>
        <w:bidi w:val="0"/>
        <w:spacing w:before="120" w:after="0"/>
        <w:jc w:val="both"/>
        <w:rPr>
          <w:rFonts w:ascii="Times New Roman" w:hAnsi="Times New Roman"/>
          <w:sz w:val="20"/>
        </w:rPr>
      </w:pPr>
      <w:r>
        <w:rPr>
          <w:rFonts w:ascii="Times New Roman" w:hAnsi="Times New Roman"/>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product candidates or therapeutic areas may not lead to the development of viable commercial products and may divert resources away from better opportunities. Similarly, any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azelaprag, our business, financial condition and results of operations would be materially adversely affected.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Drug development is a lengthy and expensive process, the outcome of clinical testing is inherently uncertain, and results of earlier studies and trials may not be predictive of future trial results. We may incur additional costs or experience delays in completing, or ultimately be unable to complete, the development and commercialization of azelaprag and any future product candidates for many reasons, including a failure to replicate positive results from earlier preclinical studies or clinical trials in ongoing or future preclinical studies or clinical trials. </w:t>
      </w:r>
    </w:p>
    <w:p>
      <w:pPr>
        <w:pStyle w:val="TextBody"/>
        <w:bidi w:val="0"/>
        <w:spacing w:before="120" w:after="0"/>
        <w:jc w:val="both"/>
        <w:rPr>
          <w:rFonts w:ascii="Times New Roman" w:hAnsi="Times New Roman"/>
          <w:sz w:val="20"/>
        </w:rPr>
      </w:pPr>
      <w:r>
        <w:rPr>
          <w:rFonts w:ascii="Times New Roman" w:hAnsi="Times New Roman"/>
          <w:sz w:val="20"/>
        </w:rPr>
        <w:t xml:space="preserve">Our lead product candidate, azelaprag, is in clinical development, and the risk of failure is high. It is impossible to predict when or if azelaprag or any future product candidates will prove effective and safe in humans or will receive regulatory approval. To obtain the requisite regulatory approvals to commercialize any product candidate,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trial process. The results of preclinical studies and early clinical trials of azelaprag or any future product candidates, or a competitors product candidate in the same class, may not be predictive of the results of later-stage clinical trials. For example, as is common in early-stage clinical trials, our Phase 1b bed rest atrophy clinical trial of azelaprag, conducted in a small number of healthy older individuals, evaluated a number of pharmacodynamic endpoints and biomarkers without correction for multiplicity. These results on measures of muscle size, quality and metabolism may not be replicated in later-stage clinical trials with different trial designs and patient populations. Interim, topline or preliminary results of a clinical trial are not necessarily indicative of final results. 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clinical development of azelaprag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We may experience delays in initiating or completing clinical trials. We also may experience numerous unforeseen events during, or as a result of, any future clinical trials that we could conduct that could delay or prevent our ability to receive regulatory approval or commercialize azelaprag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regulators, institutional review boards (IRBs) or ethics committees may not authorize us or our investigators to commence a clinical trial or conduct a clinical trial at a prospective trial site, or may halt or suspend an ongoing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trial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of our current or future product candidates in clinical trials to demonstrate important functional or patient-reported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elect,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clinical trials of azelaprag or any future product candidates may be greater than we anticipate, and we may not have sufficient funds to complete such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quality of azelaprag or any future product candidates or other materials necessary to conduct clinical trials of azelaprag or any future product candidates may be inadequate to initiate or complete a given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inability to manufacture sufficient quantities of azelaprag or any future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inability to meet drug specifications suitable for use in clinical trials and commercial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reports from clinical testing of other therapies may raise safety or efficacy concerns about azelaprag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receipt of feedback from regulatory authorities that requires us to modify the design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failure to establish an appropriate safety profile for a product candidate based on clinical or preclinical data for such product candidate as well as data emerging from other molecules in the same class as azelaprag or any future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FDA or other regulatory authorities may require us to submit additional data such as long-term toxicology studies or impose other requirements before permitting us to initiate a clinical trial.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azelaprag or any future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 For example, while the FDA has issued a draft guidance on developing products for weight management that describes appropriate efficacy endpoints for pivotal trials for product candidates for weight management, the guidance does not address endpoints related to change in body composition. While the FDA agreed with our primary endpoint of percent change in body weight for STRIDES, for change in body composition or muscle-related parameters we are currently examining or may examine in the future, we expect that we will have to demonstrate how any change in such parameters translates to clinical benefit.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240" w:after="0"/>
        <w:jc w:val="both"/>
        <w:rPr>
          <w:rFonts w:ascii="Times New Roman" w:hAnsi="Times New Roman"/>
          <w:sz w:val="20"/>
        </w:rPr>
      </w:pPr>
      <w:r>
        <w:rPr>
          <w:rFonts w:ascii="Times New Roman" w:hAnsi="Times New Roman"/>
          <w:sz w:val="20"/>
        </w:rPr>
        <w:t xml:space="preserve">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delayed in seeking and obtaining regulatory approval, if we receive such approval at all, receive more limited or restrictive regulatory approval, be subject to additional post-marketing testing requirements or have the drug removed from the market after obtaining regulatory approval. </w:t>
      </w:r>
    </w:p>
    <w:p>
      <w:pPr>
        <w:pStyle w:val="TextBody"/>
        <w:bidi w:val="0"/>
        <w:spacing w:before="240" w:after="0"/>
        <w:jc w:val="both"/>
        <w:rPr>
          <w:rFonts w:ascii="Times New Roman" w:hAnsi="Times New Roman"/>
          <w:sz w:val="20"/>
        </w:rPr>
      </w:pPr>
      <w:r>
        <w:rPr>
          <w:rFonts w:ascii="Times New Roman" w:hAnsi="Times New Roman"/>
          <w:sz w:val="20"/>
        </w:rPr>
        <w:t xml:space="preserve">Additionally, if the results of our clinical trials are inconclusive or if there are safety concerns or serious adverse events associated with our product candidates,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delayed in obtaining regulatory approval,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 approval for indications or patient populations that are not as broad as intended or desired or may have restricted duration expectations or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subject to additional post-marketing testing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required to perform additional clinical trials to support approval or be subject to additional post-marketing testing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have regulatory authorities withdraw, or suspend, their approval of the drug or impose restrictions on its distribution in the form of a Risk Evaluation and Mitigation Strategy (REMS);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subject to the addition of labeling statements, such as warnings or contraindications;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experience damage to our reputation.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drug development costs will also increase if we experience delays in testing or obtaining regulatory approvals. Also, delays in obtaining regulatory approval may increase commercialization costs if the competitive environment becomes more intense prior to market entry. We do not know whether any of our preclinical studies or clinical trials will begin as planned, need to be restructured or be completed on schedule, if at all. </w:t>
      </w:r>
    </w:p>
    <w:p>
      <w:pPr>
        <w:pStyle w:val="TextBody"/>
        <w:bidi w:val="0"/>
        <w:spacing w:before="240" w:after="0"/>
        <w:jc w:val="both"/>
        <w:rPr>
          <w:rFonts w:ascii="Times New Roman" w:hAnsi="Times New Roman"/>
          <w:sz w:val="20"/>
        </w:rPr>
      </w:pPr>
      <w:r>
        <w:rPr>
          <w:rFonts w:ascii="Times New Roman" w:hAnsi="Times New Roman"/>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regulatory approval of one or more of our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current or any future product candidates could be negatively impacted, and our ability to generate revenues from our current or future product candidates may be delayed or eliminated entirely.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developing our lead product candidate, azelaprag, and may develop future product candidates, in combination with other therapies, which would expose us to additional risks. </w:t>
      </w:r>
    </w:p>
    <w:p>
      <w:pPr>
        <w:pStyle w:val="TextBody"/>
        <w:bidi w:val="0"/>
        <w:spacing w:before="120" w:after="0"/>
        <w:jc w:val="both"/>
        <w:rPr>
          <w:rFonts w:ascii="Times New Roman" w:hAnsi="Times New Roman"/>
          <w:sz w:val="20"/>
        </w:rPr>
      </w:pPr>
      <w:r>
        <w:rPr>
          <w:rFonts w:ascii="Times New Roman" w:hAnsi="Times New Roman"/>
          <w:sz w:val="20"/>
        </w:rPr>
        <w:t xml:space="preserve">We are currently developing our lead product candidate, azelaprag, for use in combination with certain incretins for the treatment of obesity, and we may develop other product candidates for use in combination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other therapies in the future. For example, our ongoing and planned Phase 2 trials of azelaprag are in combination with tirzepatide and semaglutide. The development of product candidates for use in combination with another product may present challenges that are not faced for single agent product candidates. Each of our Phase 2 trials of azelaprag in combination with tirzepatide and semaglutide, respectively, are designed to evaluate efficacy and it is possible that the results of these trials or future trials of azelaprag in combination with tirzepatide or semaglutide could show that azelaprag does not sufficiently contribute to the observed effects of individuals who participate in these trials. Even if any of our current or future product candidates were to receive regulatory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FDA or similar foreign regulatory authorities requiring us to conduct additional clinical trials, the need to identify other combination therapies for our product candidates or our own products being removed from the market or being less successful commercially.</w:t>
      </w:r>
    </w:p>
    <w:p>
      <w:pPr>
        <w:pStyle w:val="TextBody"/>
        <w:bidi w:val="0"/>
        <w:spacing w:before="240" w:after="0"/>
        <w:jc w:val="both"/>
        <w:rPr>
          <w:rFonts w:ascii="Times New Roman" w:hAnsi="Times New Roman"/>
          <w:sz w:val="20"/>
        </w:rPr>
      </w:pPr>
      <w:r>
        <w:rPr>
          <w:rFonts w:ascii="Times New Roman" w:hAnsi="Times New Roman"/>
          <w:sz w:val="20"/>
        </w:rPr>
        <w:t xml:space="preserve">If the FDA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such as in connection with our material transfer agreement with Eli Lilly (Lilly) for certain amounts of tirzepatide to be used in connection with our planned clinical trials of azelaprag, or if the cost of combination therapies are prohibitive, our development and commercialization efforts would be impaired, which would have an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Preliminary, topline or interim data from our clinical trials that we announce or publish from time to time may change as more patient data become available and/or are subject to audit and verification procedures that could result in material changes in the final data.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publicly disclose preliminary, topline or interim data from our clinical trials, such as preliminary, topline or interim or data analysis from our ongoing and planned Phase 2 clinical trials of azelaprag.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w:t>
      </w:r>
    </w:p>
    <w:p>
      <w:pPr>
        <w:pStyle w:val="TextBody"/>
        <w:bidi w:val="0"/>
        <w:spacing w:before="240" w:after="0"/>
        <w:jc w:val="both"/>
        <w:rPr>
          <w:rFonts w:ascii="Times New Roman" w:hAnsi="Times New Roman"/>
          <w:sz w:val="20"/>
        </w:rPr>
      </w:pPr>
      <w:r>
        <w:rPr>
          <w:rFonts w:ascii="Times New Roman" w:hAnsi="Times New Roman"/>
          <w:sz w:val="20"/>
        </w:rPr>
        <w:t xml:space="preserve">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including, for example, preliminary or interim data that becomes available to us from our ongoing and planned Phase 2 clinical trials of azelaprag or by our competitors in the future could result in volatility in the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not be successful in applying our longitudinal human aging platform to identify additional targets with therapeutic and commercial potential or in the discovery and development of commercially viable product candidates for us or our collaborators. </w:t>
      </w:r>
    </w:p>
    <w:p>
      <w:pPr>
        <w:pStyle w:val="TextBody"/>
        <w:bidi w:val="0"/>
        <w:spacing w:before="120" w:after="0"/>
        <w:jc w:val="both"/>
        <w:rPr>
          <w:rFonts w:ascii="Times New Roman" w:hAnsi="Times New Roman"/>
          <w:sz w:val="20"/>
        </w:rPr>
      </w:pPr>
      <w:r>
        <w:rPr>
          <w:rFonts w:ascii="Times New Roman" w:hAnsi="Times New Roman"/>
          <w:sz w:val="20"/>
        </w:rPr>
        <w:t xml:space="preserve">We use our longitudinal human aging platform to identify and prioritize potential drug targets, to assess the likelihood that we can develop a product candidate that interacts with the target to elicit the desired therapeutic effect, and to transition these insights efficiently into well supported therapeutic candidates. While we believe our platform will increase the likelihood of producing additional product candidates that provide meaningful clinical benefit, past success in identifying potential product candidates does not assure future success for our internal drug discovery programs. Our longitudinal human aging platform is novel, and we may not succeed in applying our platform to identify additional drug targets or transition these targets into promising future product candidates. We similarly cannot provide any assurance that, even if we do successfully identify additional targets, we will be able to successfully develop future product candidates and advance any such future product candidates into and through clinical development. Therefore, we are unable to predict the time and cost associated with the identification and development of any future product candidate or whether the application of our platform will result in the identification, development and ultimately regulatory approval of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Efforts through our platform to identify, discover, acquire or in-license, and ultimately develop, product candidates require substantial technical, financial and human resources, whether or not any such future product candidates are ultimately identified. Our efforts may initially show promise in identifying potential product candidates, yet fail to yield product candidates for clinical development or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methodology used may not be successful in identifying any future potential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competitors may develop alternatives that render any product candidates we develop obsolete;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product candidates we develop may nevertheless be covered by third parties patents or other exclusive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product candidate may be shown, in subsequent preclinical or clinical investigations, to have harmful side effects or characteristics that indicate it is unlikely to be effective, or otherwise would not meet applicable regulatory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product candidate may not be capable of being produced in commercial quantities at an acceptable cost,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product candidate may not be accepted as safe and effective by physicians, patients, the medical community or third-party payors.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Our future growth may be dependent, in part, on our ability to operate in foreign markets, where we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may be dependent, in part, on our ability to develop and commercialize azelaprag, if approved, and any future product candidates in foreign markets for which we may rely on collaboration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parties. We are not permitted to market or promote azelaprag or any future product candidates before we receive regulatory approval from the applicable regulatory authority in that foreign market and may never receive such regulatory approval for azelaprag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azelaprag or any future product candidates, and we cannot predict success in these jurisdictions. If we fail to comply with the regulatory requirements in international markets and receive applicable regulatory approvals, our target market will be reduced and our ability to realize the full market potential of azelaprag or any future product candidates will be harmed, and our business will be adversely affected. We may not obtain foreign regulatory approvals on a timely basis, if at all. Our failure to obtain approval of any of azelaprag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azelaprag or any future product candidates and ultimately commercialize azelaprag or any future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experience difficulty enrolling or keeping patients in our clinical trials, which could delay or prevent us from proceeding with, or otherwise adversely affect, clinical trials of our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Our clinical trials will compete with other clinical trials for product candidates that are in the same therapeutic areas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it is possible that we will be required to conduct some of our clinical trials at the same clinical trial sites that some of our competitors use, which could negatively impact the number of patients who are available for our clinical trials in such clinical trial site. </w:t>
      </w:r>
    </w:p>
    <w:p>
      <w:pPr>
        <w:pStyle w:val="TextBody"/>
        <w:bidi w:val="0"/>
        <w:spacing w:before="240" w:after="0"/>
        <w:jc w:val="both"/>
        <w:rPr>
          <w:rFonts w:ascii="Times New Roman" w:hAnsi="Times New Roman"/>
          <w:sz w:val="20"/>
        </w:rPr>
      </w:pPr>
      <w:r>
        <w:rPr>
          <w:rFonts w:ascii="Times New Roman" w:hAnsi="Times New Roman"/>
          <w:sz w:val="20"/>
        </w:rPr>
        <w:t xml:space="preserve">Delays related to patient enrollment and difficulties related to patient retention may result in increased costs or may affect the timing or outcome of our future clinical trials, which could prevent completion of these trials and adversely affect our ability to advance the development of our product candidates. 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current or future product candidates may not achieve adequate market acceptance among physicians, patients or their families, healthcare payors and others in the medical community necessary for commercial success. </w:t>
      </w:r>
    </w:p>
    <w:p>
      <w:pPr>
        <w:pStyle w:val="TextBody"/>
        <w:bidi w:val="0"/>
        <w:spacing w:before="120" w:after="0"/>
        <w:jc w:val="both"/>
        <w:rPr>
          <w:rFonts w:ascii="Times New Roman" w:hAnsi="Times New Roman"/>
          <w:sz w:val="20"/>
        </w:rPr>
      </w:pPr>
      <w:r>
        <w:rPr>
          <w:rFonts w:ascii="Times New Roman" w:hAnsi="Times New Roman"/>
          <w:sz w:val="20"/>
        </w:rPr>
        <w:t xml:space="preserve">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efficacy, durability and safety profile as demonstrated in clinical trials compared to alternative treatments, in addition to patient-reported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clinical indications for which a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the use of product candidates in the labeling approved by regulatory authorities, such as boxed warnings or contraindications in labeling, or a REMS, if any, which may not be required of alternative treatments and competitor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and perceived advantages of our current or future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treatment in relation to alternative treatments and the cost/benefit ratios of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coverage and adequate reimbursement by third-party payors, including government authorities, given the significant number of obese patients in the United States, and timing of relevant formulary decision-making resulting in this coverage and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an approved product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relative convenience and ease of administration in relation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effectiveness of sales, marketing efforts and market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publicity relating to our product candidates or those of our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approval of new therapies for the same indications.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any of our current or future product candidates are approved but do not achieve an adequate level of acceptance by physicians, hospitals, healthcare payors and patients, we may not generate or derive sufficient revenue from that product candidate and our financial results would be negatively impacted.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never commercialized a product candidate as a company before and currently lack the comprehensive, fully staffed expertise, personnel and resources to successfully commercialize any products on our own or together with suitable collaborators. If, in the future, we are unable to establish sales and marketing capabilities or enter into agreements with third parties to sell and market any product we may develop, we may not be successful in commercializing those products if they are approved.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 sales or marketing infrastructure and have no experience in the sales, marketing or distribution of any current or future product candidates.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There are risks involved with both establishing our own commercial capabilities and entering into arrangements with third parties to perform these services. For example, factors that may inhibit our efforts to commercialize any approved product candidates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to recruit and retain adequate numbers of effective sales, marketing, coverage or reimbursement, customer service, medical affairs and other support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of sales personnel to obtain access to or persuade adequate numbers of decision makers to utilize any future approved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inability to price any of our current or future product candidates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restricted or closed distribution channels that make it difficult to distribute our current or future product candidates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lack of complementary product candidates to be offered by sales personnel, which may put us at a competitive disadvantage relative to companies with more extensive product candidate lines;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unforeseen costs and expenses associated with creating an independent commercialization organization.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240" w:after="0"/>
        <w:jc w:val="both"/>
        <w:rPr>
          <w:rFonts w:ascii="Times New Roman" w:hAnsi="Times New Roman"/>
          <w:sz w:val="20"/>
        </w:rPr>
      </w:pPr>
      <w:r>
        <w:rPr>
          <w:rFonts w:ascii="Times New Roman" w:hAnsi="Times New Roman"/>
          <w:sz w:val="20"/>
        </w:rPr>
        <w:t xml:space="preserve">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Operations </w:t>
      </w:r>
    </w:p>
    <w:p>
      <w:pPr>
        <w:pStyle w:val="TextBody"/>
        <w:bidi w:val="0"/>
        <w:spacing w:before="240" w:after="0"/>
        <w:jc w:val="both"/>
        <w:rPr>
          <w:rFonts w:ascii="Times New Roman" w:hAnsi="Times New Roman"/>
          <w:b/>
          <w:i/>
          <w:sz w:val="20"/>
        </w:rPr>
      </w:pPr>
      <w:r>
        <w:rPr>
          <w:rFonts w:ascii="Times New Roman" w:hAnsi="Times New Roman"/>
          <w:b/>
          <w:i/>
          <w:sz w:val="20"/>
        </w:rPr>
        <w:t xml:space="preserve">Our future performance is dependent on our ability to retain key employees and to attract, retain and motivate qualified personnel and manage our human capital. </w:t>
      </w:r>
    </w:p>
    <w:p>
      <w:pPr>
        <w:pStyle w:val="TextBody"/>
        <w:bidi w:val="0"/>
        <w:spacing w:before="120" w:after="0"/>
        <w:jc w:val="both"/>
        <w:rPr>
          <w:rFonts w:ascii="Times New Roman" w:hAnsi="Times New Roman"/>
          <w:sz w:val="20"/>
        </w:rPr>
      </w:pPr>
      <w:r>
        <w:rPr>
          <w:rFonts w:ascii="Times New Roman" w:hAnsi="Times New Roman"/>
          <w:sz w:val="20"/>
        </w:rPr>
        <w:t xml:space="preserve">Our ability to compete in the highly competitive biotechnology and biopharmaceutical industries is largely dependent on our ability to attract, motivate and retain highly qualified managerial, clinical, scientific and medical personnel. We are highly dependent on the scientific and management expertise of Dr. Fortney, our Chief Executive Officer, the other members of our management team and other key employees and advisors. We currently do not maintain key person life insurance on these individuals or any of our employees. This lack of insurance means that we may not have adequate compensation for the loss of the services of any such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drug development and the specific knowledge related to azelaprag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 </w:t>
      </w:r>
    </w:p>
    <w:p>
      <w:pPr>
        <w:pStyle w:val="TextBody"/>
        <w:bidi w:val="0"/>
        <w:spacing w:before="240" w:after="0"/>
        <w:jc w:val="both"/>
        <w:rPr>
          <w:rFonts w:ascii="Times New Roman" w:hAnsi="Times New Roman"/>
          <w:sz w:val="20"/>
        </w:rPr>
      </w:pPr>
      <w:r>
        <w:rPr>
          <w:rFonts w:ascii="Times New Roman" w:hAnsi="Times New Roman"/>
          <w:sz w:val="20"/>
        </w:rPr>
        <w:t xml:space="preserve">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240" w:after="0"/>
        <w:jc w:val="both"/>
        <w:rPr>
          <w:rFonts w:ascii="Times New Roman" w:hAnsi="Times New Roman"/>
          <w:sz w:val="20"/>
        </w:rPr>
      </w:pPr>
      <w:r>
        <w:rPr>
          <w:rFonts w:ascii="Times New Roman" w:hAnsi="Times New Roman"/>
          <w:sz w:val="20"/>
        </w:rPr>
        <w:t xml:space="preserve">We are currently a remote-based company, with a majority of our employees working remotely, and we primarily conduct our in-person operations at our research facility in Richmond, California. This region is headquarters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management personnel, as well as personnel with expertise in clinical testing, manufacturing, governmental regulation and 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quarterly and annual operating results may fluctuate significantly or may fall below the expectations of investors or securities analysts, each of which may cause our stock price to fluctuate or decline. </w:t>
      </w:r>
    </w:p>
    <w:p>
      <w:pPr>
        <w:pStyle w:val="TextBody"/>
        <w:bidi w:val="0"/>
        <w:spacing w:before="120" w:after="0"/>
        <w:jc w:val="both"/>
        <w:rPr>
          <w:rFonts w:ascii="Times New Roman" w:hAnsi="Times New Roman"/>
          <w:sz w:val="20"/>
        </w:rPr>
      </w:pPr>
      <w:r>
        <w:rPr>
          <w:rFonts w:ascii="Times New Roman" w:hAnsi="Times New Roman"/>
          <w:sz w:val="20"/>
        </w:rPr>
        <w:t xml:space="preserve">We expect our operating results to be subject to quarterly fluctuations. Our net loss and other operating results will be affected by numerous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variations in the level of expense related to the ongoing development of azelaprag or any future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results of preclinical studies and clinical trials, or the addition or termination of future clinical trials or funding support by us, or existing or future collaborators or licensing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enroll patients in clinical trials and the timing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need to conduct unanticipated clinical trials or trials that are larger or more complex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intellectual property infringement lawsuit or opposition, interference or cancellation proceeding in which we may become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developments affecting azelaprag or any future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unforeseen business disruptions that increase our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effects of global macroeconomic events, such as inflation, geopolitical conflicts, pandemics, natural disasters and supply chain issues, on our business and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general market and economic conditions.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or annual comparisons of our financial results are not necessarily meaningful and should not be relied on as an indication of our future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to expand our development, clinical and regulatory capabilities and operations as we grow, and as a result, we may encounter difficulties in managing our growth, which could disrupt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We expect to increase the number of our employees and the scope of our operations, particularly in the areas of clinical development, clinical operations, manufacturing, late-stage regulatory affairs, finance, accounting, business operations, public company compliance, communications and other corporate development functions, and, if azelaprag or any future product candidates receive regulatory approval, sales, marketing and distribution capabilities. If we acquire additional product candidates or enter into future collaborations, we may have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further expand our employee base beyond our current projections, which may include further preclinical research and development or later-stage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 </w:t>
      </w:r>
    </w:p>
    <w:p>
      <w:pPr>
        <w:pStyle w:val="TextBody"/>
        <w:bidi w:val="0"/>
        <w:spacing w:before="240" w:after="0"/>
        <w:jc w:val="both"/>
        <w:rPr>
          <w:rFonts w:ascii="Times New Roman" w:hAnsi="Times New Roman"/>
          <w:sz w:val="20"/>
        </w:rPr>
      </w:pPr>
      <w:r>
        <w:rPr>
          <w:rFonts w:ascii="Times New Roman" w:hAnsi="Times New Roman"/>
          <w:sz w:val="20"/>
        </w:rPr>
        <w:t xml:space="preserve">If we are not able to effectively manage growth and expand our operations, we may not be able to successfully implement the tasks necessary to further develop and commercialize, if approved, azelaprag or any future product candidates and, accordingly, we may not achieve our research, development and commercialization goals.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face substantial competition, which may result in others discovering, developing or commercializing products before or more successfully than we do, if at all. </w:t>
      </w:r>
    </w:p>
    <w:p>
      <w:pPr>
        <w:pStyle w:val="TextBody"/>
        <w:bidi w:val="0"/>
        <w:spacing w:before="120" w:after="0"/>
        <w:jc w:val="both"/>
        <w:rPr>
          <w:rFonts w:ascii="Times New Roman" w:hAnsi="Times New Roman"/>
          <w:sz w:val="20"/>
        </w:rPr>
      </w:pPr>
      <w:r>
        <w:rPr>
          <w:rFonts w:ascii="Times New Roman" w:hAnsi="Times New Roman"/>
          <w:sz w:val="20"/>
        </w:rPr>
        <w:t xml:space="preserve">The development and commercialization of new drug products is highly competitive, and specifically the development and commercialization of therapeutics for the treatment of obesity is particularly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 </w:t>
      </w:r>
    </w:p>
    <w:p>
      <w:pPr>
        <w:pStyle w:val="TextBody"/>
        <w:bidi w:val="0"/>
        <w:spacing w:before="240" w:after="0"/>
        <w:jc w:val="both"/>
        <w:rPr>
          <w:rFonts w:ascii="Times New Roman" w:hAnsi="Times New Roman"/>
          <w:sz w:val="20"/>
        </w:rPr>
      </w:pPr>
      <w:r>
        <w:rPr>
          <w:rFonts w:ascii="Times New Roman" w:hAnsi="Times New Roman"/>
          <w:sz w:val="20"/>
        </w:rPr>
        <w:t xml:space="preserve">Our lead product candidate, azelaprag, initially under development as a combination therapy for the treatment of obesity, if approved, would face competition from other approved treatments, some of which have already achieved commercial success. To compete successfully, we will need to differentiate our combination therapy, if approved, from currently marketed drugs as well as those that may be approved in the future, meaning that we will have to demonstrate that the relative cost, method of administration, safety, tolerability or efficacy of our combination therapy provides a better alternative or complement to existing and new therapies. Our commercial opportunity and likelihood of success will be reduced or eliminated if our azelaprag combination therapy is not ultimately demonstrated to be safer, more effective, more conveniently administered, or less expensive than the current standards of care. Furthermore, even if an azelaprag combination therapy is able to achieve these attributes, acceptance of such combination therapy may be inhibited by the reluctance of physicians to switch from existing therapies, or if physicians choose to reserve our azelaprag combination therapy for use in limited circumstances.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Mergers and acquisitions in the biopharmaceutical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estimates of market opportunity and forecasts of market growth included in this prospectus may prove to be smaller than we believe, and even if the markets in which we compete achieve the forecasted growth, our business may not grow at similar rates, or at all. </w:t>
      </w:r>
    </w:p>
    <w:p>
      <w:pPr>
        <w:pStyle w:val="TextBody"/>
        <w:bidi w:val="0"/>
        <w:spacing w:before="120" w:after="0"/>
        <w:jc w:val="both"/>
        <w:rPr>
          <w:rFonts w:ascii="Times New Roman" w:hAnsi="Times New Roman"/>
          <w:sz w:val="20"/>
        </w:rPr>
      </w:pPr>
      <w:r>
        <w:rPr>
          <w:rFonts w:ascii="Times New Roman" w:hAnsi="Times New Roman"/>
          <w:sz w:val="20"/>
        </w:rPr>
        <w:t xml:space="preserve">We intend to initially focus our product candidate development on treatments for metabolic diseases, such as obesity.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Similarly, the percent of the population with obesity and metabolic diseases could be lower than we anticipate. In both instances, the pool of potential patients that azelaprag could address could be substantially smaller than we anticipate.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 </w:t>
      </w:r>
    </w:p>
    <w:p>
      <w:pPr>
        <w:pStyle w:val="TextBody"/>
        <w:bidi w:val="0"/>
        <w:spacing w:before="360" w:after="0"/>
        <w:jc w:val="both"/>
        <w:rPr>
          <w:rFonts w:ascii="Times New Roman" w:hAnsi="Times New Roman"/>
          <w:b/>
          <w:i/>
          <w:sz w:val="20"/>
        </w:rPr>
      </w:pPr>
      <w:r>
        <w:rPr>
          <w:rFonts w:ascii="Times New Roman" w:hAnsi="Times New Roman"/>
          <w:b/>
          <w:i/>
          <w:sz w:val="20"/>
        </w:rPr>
        <w:t xml:space="preserve">Negative results or publicity for one obesity drug could have a substantial impact on all drugs and product candidates for the treatment of obesity, including ours. </w:t>
      </w:r>
    </w:p>
    <w:p>
      <w:pPr>
        <w:pStyle w:val="TextBody"/>
        <w:bidi w:val="0"/>
        <w:spacing w:before="120" w:after="0"/>
        <w:jc w:val="both"/>
        <w:rPr>
          <w:rFonts w:ascii="Times New Roman" w:hAnsi="Times New Roman"/>
          <w:sz w:val="20"/>
        </w:rPr>
      </w:pPr>
      <w:r>
        <w:rPr>
          <w:rFonts w:ascii="Times New Roman" w:hAnsi="Times New Roman"/>
          <w:sz w:val="20"/>
        </w:rPr>
        <w:t xml:space="preserve">Our business can be affected by adverse publicity or negative public perception about us, our competitors, our product candidates or products, if approved, or our industry or competitors generally. Adverse publicity may include publicity about metabolic disease treatments or GLP-1R agonists generally, the efficacy, safety and quality of azelaprag, as well as of the broader category of obesity products, including any products that azelaprag are intended to be used in combination with, and regulatory investigations, regardless of whether these investigations involve us or the business practices or products of our competitors or our customers. Any adverse publicity or negative public perception could have a material adverse effect on our business, financial condition and results of operations. Further, any adverse effects in our clinical trials, even if not ultimately attributable to our product candidates, and the resulting publicity could result in withdrawal of clinical trial participants, and a decrease in demand for any such product candidates. Our business, financial condition and results of operations could be adversely affected if any of our product candidates or products, if approved, or any similar products distributed by other companies are alleged to be or are proved to be harmful to consumers or to have unanticipated and unwanted health consequences.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 </w:t>
      </w:r>
    </w:p>
    <w:p>
      <w:pPr>
        <w:pStyle w:val="TextBody"/>
        <w:bidi w:val="0"/>
        <w:spacing w:before="120" w:after="0"/>
        <w:jc w:val="both"/>
        <w:rPr>
          <w:rFonts w:ascii="Times New Roman" w:hAnsi="Times New Roman"/>
          <w:sz w:val="20"/>
        </w:rPr>
      </w:pPr>
      <w:r>
        <w:rPr>
          <w:rFonts w:ascii="Times New Roman" w:hAnsi="Times New Roman"/>
          <w:sz w:val="20"/>
        </w:rPr>
        <w:t xml:space="preserve">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t>
      </w:r>
    </w:p>
    <w:p>
      <w:pPr>
        <w:pStyle w:val="TextBody"/>
        <w:bidi w:val="0"/>
        <w:spacing w:before="240" w:after="0"/>
        <w:jc w:val="both"/>
        <w:rPr>
          <w:rFonts w:ascii="Times New Roman" w:hAnsi="Times New Roman"/>
          <w:sz w:val="20"/>
        </w:rPr>
      </w:pPr>
      <w:r>
        <w:rPr>
          <w:rFonts w:ascii="Times New Roman" w:hAnsi="Times New Roman"/>
          <w:sz w:val="20"/>
        </w:rPr>
        <w:t xml:space="preserve">We currently maintain approximately $19.0 million in general liability insurance and product liability insurance in the aggregate.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employees, independent contractors, consultants and vendors may engage in misconduct or other improper activities, including noncompliance with regulatory standards and requirements and insider trading, and we may be subject to claims that our employees, consultants or independent contractors have wrongfully used or disclosed confidential information of third parties.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regulatory authorities, comply with manufacturing standards we may establish, comply with healthcare fraud and abuse laws and regulations, report financial information or data accurately or disclose 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civil, criminal and administrative penalties, damages, fines, disgorgement, imprisonment, the curtailment or restructuring of our operations, loss of eligibility to obtain approvals from the FDA or other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240" w:after="0"/>
        <w:jc w:val="both"/>
        <w:rPr>
          <w:rFonts w:ascii="Times New Roman" w:hAnsi="Times New Roman"/>
          <w:sz w:val="20"/>
        </w:rPr>
      </w:pPr>
      <w:r>
        <w:rPr>
          <w:rFonts w:ascii="Times New Roman" w:hAnsi="Times New Roman"/>
          <w:sz w:val="20"/>
        </w:rPr>
        <w:t xml:space="preserve">We have received confidential and proprietary information from third parties. In addition, we employ individuals who were previously employed at other biotechnology or pharmaceutical companies. Although we try to ensure that individuals working for or collaborating with us do not use the proprietary information or know-how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 or her non-competition or non-solicitation agreement. We may be subject to claims that patents and applications we have filed to protect inventions of our employees, consultants, advisors or other third parties,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 </w:t>
      </w:r>
    </w:p>
    <w:p>
      <w:pPr>
        <w:pStyle w:val="TextBody"/>
        <w:bidi w:val="0"/>
        <w:spacing w:before="120" w:after="0"/>
        <w:jc w:val="both"/>
        <w:rPr>
          <w:rFonts w:ascii="Times New Roman" w:hAnsi="Times New Roman"/>
          <w:sz w:val="20"/>
        </w:rPr>
      </w:pPr>
      <w:r>
        <w:rPr>
          <w:rFonts w:ascii="Times New Roman" w:hAnsi="Times New Roman"/>
          <w:sz w:val="20"/>
        </w:rPr>
        <w:t>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spacing w:before="240" w:after="0"/>
        <w:jc w:val="both"/>
        <w:rPr>
          <w:rFonts w:ascii="Times New Roman" w:hAnsi="Times New Roman"/>
          <w:sz w:val="20"/>
        </w:rPr>
      </w:pPr>
      <w:r>
        <w:rPr>
          <w:rFonts w:ascii="Times New Roman" w:hAnsi="Times New Roman"/>
          <w:sz w:val="20"/>
        </w:rPr>
        <w:t xml:space="preserve">In May 2022, we entered into the Loan Agreement and the Term Loan we entered into in connection with the Loan Agreement restricts our ability to pursue certain mergers, acquisitions or consolidations that we may believe to be in our best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Our ability to use our net operating loss carryforwards and certain other tax attributes may be limited.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substantial losses during our history and do not expect to become profitable in the near future, and we may never achieve profitability. Under current law unused U.S. federal net operating losses generated in tax years beginning after December 31, 2017, will not expire and may be carried forward indefinitely but the deductibility of such federal net operating losses for any year is limited to no more than 80% of current year taxable income (without regard to certain deductions). In addition, both our current and our future net operating losses and other tax attributes may be subject to limitation under Sections 382 and 383 of the U.S. Internal Revenue Code of 1986, as amended (the Code), if we undergo, or have undergone, an ownership change, generally defined as a greater than 50 percentage point change (by value) in our equity ownership by certain stockholders or groups of stockholders over a three-year period. It is possible that we have undergone one or more ownership changes in the past. We may also undergo ownership changes in the future as a result of the offering and the concurrent private placement and/or other shifts in the ownership of our capital stock, some of which may be outside of our control, which may further limit our ability to use our pre-change net operating loss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tax laws or regulations that are applied adversely to us may have a material adverse effect on our business, cash flows, financial condition or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New income, sales, use or other tax laws, statutes, rules or regulations could be enacted at any time, which could adversely affect our business operations and financial performance. Further, existing tax laws, statutes, rules, regulations or ordinances could be interpreted, changed, modified or applied adversely to us. For example,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In addition, for tax years beginning after December 31, 2021, current law requires taxpayers to capitalize and amortize certain research and development expenditures over five years if incurred in the United States and fifteen years if incurred in foreign jurisdictions, rather than deducting them concurrently. Although there have been legislative proposals to repeal or defer the capitalization requirement to later years, there can be no assurance that the provision will be repealed or otherwise modified.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both"/>
        <w:rPr>
          <w:rFonts w:ascii="Times New Roman" w:hAnsi="Times New Roman"/>
          <w:sz w:val="20"/>
        </w:rPr>
      </w:pPr>
      <w:r>
        <w:rPr>
          <w:rFonts w:ascii="Times New Roman" w:hAnsi="Times New Roman"/>
          <w:sz w:val="20"/>
        </w:rPr>
        <w:t xml:space="preserve">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0"/>
        <w:jc w:val="both"/>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addition, we do not have a formal risk management program for identifying and addressing risks to our business in other areas.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preparing the financial statements as of and for the years ended December 31, 2023 and 2022, management determined it had not maintained appropriately designed entity-level controls impacting the control environment, risk assessment procedures and monitoring activities to prevent or detect material misstatements to our consolidated financial statements, which constituted material weaknesses. Specifically, the control deficiencies related to (i) insufficient identification and assessment of risks impacting the design, implementation and operating effectiveness of internal controls over financial reporting and (ii) insufficient evaluation and determination as to whether components of internal control were present and functioning based upon evidence maintained for activity level controls, including management review controls, across substantially all of our financial statement areas. Management also determined that it did not maintain effective information technology controls in the areas of user access, change management and segregation of duties, within the systems supporting our accounting and reporting processes. </w:t>
      </w:r>
    </w:p>
    <w:p>
      <w:pPr>
        <w:pStyle w:val="TextBody"/>
        <w:bidi w:val="0"/>
        <w:spacing w:before="240" w:after="0"/>
        <w:jc w:val="both"/>
        <w:rPr>
          <w:rFonts w:ascii="Times New Roman" w:hAnsi="Times New Roman"/>
          <w:sz w:val="20"/>
        </w:rPr>
      </w:pPr>
      <w:r>
        <w:rPr>
          <w:rFonts w:ascii="Times New Roman" w:hAnsi="Times New Roman"/>
          <w:sz w:val="20"/>
        </w:rPr>
        <w:t xml:space="preserve">To remediate these material weaknesses, we are in the process of implementing measures designed to improve our internal control over financial reporting. We have hired additional accounting personnel with technical accounting and financial reporting experience and have implemented improved process level and management review controls. We are currently collaborating with our internal audit consultants to enable the implementation of appropriate internal controls over financial reporting. We will also review and improve the design of our general information technology controls including managing user access, change management, and segregation of duties within the systems supporting our accounting and reporting processes. </w:t>
      </w:r>
    </w:p>
    <w:p>
      <w:pPr>
        <w:pStyle w:val="TextBody"/>
        <w:bidi w:val="0"/>
        <w:spacing w:before="240" w:after="0"/>
        <w:jc w:val="both"/>
        <w:rPr>
          <w:rFonts w:ascii="Times New Roman" w:hAnsi="Times New Roman"/>
          <w:sz w:val="20"/>
        </w:rPr>
      </w:pPr>
      <w:r>
        <w:rPr>
          <w:rFonts w:ascii="Times New Roman" w:hAnsi="Times New Roman"/>
          <w:sz w:val="20"/>
        </w:rPr>
        <w:t xml:space="preserve">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 </w:t>
      </w:r>
    </w:p>
    <w:p>
      <w:pPr>
        <w:pStyle w:val="TextBody"/>
        <w:bidi w:val="0"/>
        <w:spacing w:before="240" w:after="0"/>
        <w:jc w:val="both"/>
        <w:rPr>
          <w:rFonts w:ascii="Times New Roman" w:hAnsi="Times New Roman"/>
          <w:sz w:val="20"/>
        </w:rPr>
      </w:pPr>
      <w:r>
        <w:rPr>
          <w:rFonts w:ascii="Times New Roman" w:hAnsi="Times New Roman"/>
          <w:sz w:val="20"/>
        </w:rPr>
        <w:t xml:space="preserve">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and the third parties with whom we work are, or may in the future be, subject to stringent and changing data privacy and security obligations.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we collect, receive, store, process, generate, use, transfer, disclose, make accessible, protect, secure, dispose of, transmit, and share (collectively, process) certain personal information and other sensitive information, including our proprietary and confidential business data, trade secrets, employee data, intellectual property, data we collect about trial participants in connection with clinical trials, and other sensitive data. The global data protection landscape is rapidly evolving and we are or may become subject to numerous data privacy and security obligations, such as various state, federal and foreign laws, regulations, guidance, industry standards, external and internal privacy and security policies, contractual requirements and other obligations that govern the processing of personal,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Various federal, state, local and foreign legislative and regulatory bodies, or self-regulatory organizations, may expand current laws, rules or regulations, enact new laws, rules or regulations or issue revised rules or guidance regarding data privacy and security that could result in fines or injunctions.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sensitive or confidential information could result in negative publicity, government investigations and enforcement actions, claims by third parties and damage to our reputation, any of which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In the United States, federal, state, and local governments have enacted numerous data privacy and security laws, including comprehensive consumer privacy laws, sector-specific privacy laws, consumer protection laws (e.g., Section 5 of the Federal Trade Commission Act), data breach notification laws, laws regarding on-line marketing, and other similar laws (e.g., wiretapping laws). For example, the Health Insurance Portability and Accountability Act of 1996, as amended by as amended by the Health Information Technology for Economic and Clinical Health Act of 2009 (HITECH) (collectively HIPAA), include a privacy rule and security rule that impose among other things, certain requirements relating to the privacy, security, transmission, and breach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w:t>
      </w:r>
    </w:p>
    <w:p>
      <w:pPr>
        <w:pStyle w:val="TextBody"/>
        <w:bidi w:val="0"/>
        <w:spacing w:before="240" w:after="0"/>
        <w:jc w:val="both"/>
        <w:rPr>
          <w:rFonts w:ascii="Times New Roman" w:hAnsi="Times New Roman"/>
          <w:sz w:val="20"/>
        </w:rPr>
      </w:pPr>
      <w:r>
        <w:rPr>
          <w:rFonts w:ascii="Times New Roman" w:hAnsi="Times New Roman"/>
          <w:sz w:val="20"/>
        </w:rPr>
        <w:t xml:space="preserve">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w:t>
      </w:r>
    </w:p>
    <w:p>
      <w:pPr>
        <w:pStyle w:val="TextBody"/>
        <w:bidi w:val="0"/>
        <w:spacing w:before="240" w:after="0"/>
        <w:jc w:val="both"/>
        <w:rPr>
          <w:rFonts w:ascii="Times New Roman" w:hAnsi="Times New Roman"/>
          <w:sz w:val="20"/>
        </w:rPr>
      </w:pPr>
      <w:r>
        <w:rPr>
          <w:rFonts w:ascii="Times New Roman" w:hAnsi="Times New Roman"/>
          <w:sz w:val="20"/>
        </w:rPr>
        <w:t xml:space="preserve">Over a dozen states have also passed comprehensive consumer privacy laws, and similar laws are being considered in several other states, as well as at the federal and local levels, some of which we may become subject to. For example, the California Consumer Privacy Act of 2018 (as amended by the California Privacy Rights Act of 2020) (CCPA) imposes obligations on businesses that meet certain thresholds that process the personal information of California residents (including employees based in California). These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include, but are not limited to, providing specific disclosures in privacy notices and affording California residents certain rights related to their personal information. The CCPA also provides for fines of up to $7,500 per intentional violation and allows private litigants affected by certain data breaches to recover significant statutory damages. The 2020 amendments to the CCPA also created the California Privacy Protection Agency, a new enforcement agency whose sole responsibility is to enforce the CCPA and is empowered to create new CCPA regulations. In addition to government activity, privacy advocacy groups and technology and other industries are considering various new, additional or different self-regulatory standards that may place additional burdens on us. In addition to government activity, privacy advocacy groups and technology and other industries continue to consider new or revised self-regulatory standards that may place additional burdens on us. </w:t>
      </w:r>
    </w:p>
    <w:p>
      <w:pPr>
        <w:pStyle w:val="TextBody"/>
        <w:bidi w:val="0"/>
        <w:spacing w:before="240" w:after="0"/>
        <w:jc w:val="both"/>
        <w:rPr>
          <w:rFonts w:ascii="Times New Roman" w:hAnsi="Times New Roman"/>
          <w:sz w:val="20"/>
        </w:rPr>
      </w:pPr>
      <w:r>
        <w:rPr>
          <w:rFonts w:ascii="Times New Roman" w:hAnsi="Times New Roman"/>
          <w:sz w:val="20"/>
        </w:rPr>
        <w:t xml:space="preserve">Outside the United States, the European Unions General Data Protection Regulation (EU GDPR) and the United Kingdoms GDPR (UK GDPR) impose strict requirements for processing the personal data of individuals. Among other requirements, the GDPR and UK GDPR (and certain other foreign jurisdictions) regulate the cross-border transfer of personal data, which could make it more difficult for us to transfer information across jurisdictions (such as transferring or receiving personal data that originates in the European Union (EU), or the United Kingdom to countries such as the United States which are not considered by the EU or United Kingdom to provide adequate protection of personal data). In October 2022, the EU-U.S. Data Privacy Framework was implemented, and the European Commission adopted an adequacy decision on July 10, 2023 that set conditions for personal data transfers from the EU to certified companies in the United States without additional safeguards in place. While we strive to adhere to all requirements to transfer information across jurisdictions using safeguards endorsed by government guidance (such as using the Standard Contractual Clauses approved by the European Commission), we must still adapt to changing guidance and will follow any anticipated litigation closely. As the regulatory guidance and enforcement landscape in relation to data transfers continue to develop, we could suffer additional costs, complaints and/or regulatory investigations or fines; we may have to stop using certain tools and vendors and make other operational changes; and/or it could adversely affect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Any such changes in the law related to the use of personal information or data could compromise our ability to pursue our growth strategy effectively or even prevent us from providing certain products in jurisdictions in which we currently operate or may operate in the future. Complying with these numerous, complex and often changing regulations is expensive and difficult, and failure to comply with any data privacy or security laws, whether by us, one of our third-party Contract Development and Manufacturing Organizations (CDMOs), partners or another third party, could adversely affect our business, financial condition, results of operations and prospects and result in expenses which include, but are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data privacy and security laws, we are also bound by contractual obligations related to data privacy and security. We may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240" w:after="0"/>
        <w:jc w:val="both"/>
        <w:rPr>
          <w:rFonts w:ascii="Times New Roman" w:hAnsi="Times New Roman"/>
          <w:sz w:val="20"/>
        </w:rPr>
      </w:pPr>
      <w:r>
        <w:rPr>
          <w:rFonts w:ascii="Times New Roman" w:hAnsi="Times New Roman"/>
          <w:sz w:val="20"/>
        </w:rPr>
        <w:t xml:space="preserve">We cannot assure you that our CROs, CDMOs or other third-party service providers with access to our or our suppliers, manufacturers, clinical trial participants and employees sensitive information for which we are responsible will not breach contractual obligations imposed by us, or that they will not experience data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security-related safeguards cannot completely protect us from the risks associated with the third-party processing of such information. Any of the foregoing could adversely affect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also publicly post our privacy policies and practices concerning our collection, use, disclosure and other processing of the personal information provided to us.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dependent on the efficient and uninterrupted operation of our information technology systems, and those systems, or those of our third-party service providers, may be impacted by security incidents, cyberattacks, loss of data and other disruptions, which could adversely impact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are increasingly dependent on information technology systems and infrastructure to operate our business. In the ordinary course of business, we collect, store, generate, transfer, and transmit (collectively process) confidential information (such as intellectual property, proprietary business data and patient data). It is critical that we do so in a secure manner to maintain the confidentiality and integrity of such information. We also outsource elements of our information technology systems and operations to third parties (such as vendors, contractors and consultants), and as a result we rely on and take steps designed to manage a number of third-parties who have access to and process our confidential information. </w:t>
      </w:r>
    </w:p>
    <w:p>
      <w:pPr>
        <w:pStyle w:val="TextBody"/>
        <w:bidi w:val="0"/>
        <w:spacing w:before="240" w:after="0"/>
        <w:jc w:val="both"/>
        <w:rPr>
          <w:rFonts w:ascii="Times New Roman" w:hAnsi="Times New Roman"/>
          <w:sz w:val="20"/>
        </w:rPr>
      </w:pPr>
      <w:r>
        <w:rPr>
          <w:rFonts w:ascii="Times New Roman" w:hAnsi="Times New Roman"/>
          <w:sz w:val="20"/>
        </w:rPr>
        <w:t xml:space="preserve">While we take steps designed to detect, mitigate, and remediate vulnerabilities in our information systems, we may not detect or be able to remediate all such vulnerabilities. Further, we may experience delays in developing and deploying remedial measures and patches designed to address identified vulnerabilities, if at all. Despite the implementation of these security measures, our information technology systems and those of our third-party vendors and other contractors and consultants have been in the past and may be in the future potentially vulnerable to service interruptions, system malfunction, accidents by our employees or third-party service providers, natural disasters, terrorism, war, global pandemics, and telecommunication and electrical failures. We may also experience security incidents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nation-state-supported actors, which may compromise our system infrastructure, or that of our third-party vendors and other contractors and consultants, impede our ability to conduct business, delay our financial reporting or lead to data leakage. Any of the above concerns could apply to our third-party suppliers and vendors as well. </w:t>
      </w:r>
    </w:p>
    <w:p>
      <w:pPr>
        <w:pStyle w:val="TextBody"/>
        <w:bidi w:val="0"/>
        <w:spacing w:before="240" w:after="0"/>
        <w:jc w:val="both"/>
        <w:rPr>
          <w:rFonts w:ascii="Times New Roman" w:hAnsi="Times New Roman"/>
          <w:sz w:val="20"/>
        </w:rPr>
      </w:pPr>
      <w:r>
        <w:rPr>
          <w:rFonts w:ascii="Times New Roman" w:hAnsi="Times New Roman"/>
          <w:sz w:val="20"/>
        </w:rPr>
        <w:t xml:space="preserve">The risk of a 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implement preventive measures effective against all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threats. Any breach, loss or compromise of confidential proprietary, or personal information may also subject us to liability,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before="240" w:after="0"/>
        <w:jc w:val="both"/>
        <w:rPr>
          <w:rFonts w:ascii="Times New Roman" w:hAnsi="Times New Roman"/>
          <w:sz w:val="20"/>
        </w:rPr>
      </w:pPr>
      <w:r>
        <w:rPr>
          <w:rFonts w:ascii="Times New Roman" w:hAnsi="Times New Roman"/>
          <w:sz w:val="20"/>
        </w:rPr>
        <w:t xml:space="preserve">Further, remote work may increase the risks to our information technology systems and data, as remotely working employees utilize network connections, computers and devices outside our premises or network, including working at home, while in transit or in public locations. </w:t>
      </w:r>
    </w:p>
    <w:p>
      <w:pPr>
        <w:pStyle w:val="TextBody"/>
        <w:bidi w:val="0"/>
        <w:spacing w:before="240" w:after="0"/>
        <w:jc w:val="both"/>
        <w:rPr>
          <w:rFonts w:ascii="Times New Roman" w:hAnsi="Times New Roman"/>
          <w:sz w:val="20"/>
        </w:rPr>
      </w:pPr>
      <w:r>
        <w:rPr>
          <w:rFonts w:ascii="Times New Roman" w:hAnsi="Times New Roman"/>
          <w:sz w:val="20"/>
        </w:rPr>
        <w:t xml:space="preserve">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 </w:t>
      </w:r>
    </w:p>
    <w:p>
      <w:pPr>
        <w:pStyle w:val="TextBody"/>
        <w:bidi w:val="0"/>
        <w:spacing w:before="240" w:after="0"/>
        <w:jc w:val="both"/>
        <w:rPr>
          <w:rFonts w:ascii="Times New Roman" w:hAnsi="Times New Roman"/>
          <w:sz w:val="20"/>
        </w:rPr>
      </w:pPr>
      <w:r>
        <w:rPr>
          <w:rFonts w:ascii="Times New Roman" w:hAnsi="Times New Roman"/>
          <w:sz w:val="20"/>
        </w:rPr>
        <w:t xml:space="preserve">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are an emerging growth company and a smaller reporting company and the reduced reporting requirements applicable to emerging growth companies or smaller reporting companies could make our common stock less attractive to investors.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after this offering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240" w:after="0"/>
        <w:jc w:val="both"/>
        <w:rPr>
          <w:rFonts w:ascii="Times New Roman" w:hAnsi="Times New Roman"/>
          <w:b/>
          <w:i/>
          <w:sz w:val="20"/>
        </w:rPr>
      </w:pPr>
      <w:r>
        <w:rPr>
          <w:rFonts w:ascii="Times New Roman" w:hAnsi="Times New Roman"/>
          <w:b/>
          <w:i/>
          <w:sz w:val="20"/>
        </w:rPr>
        <w:t xml:space="preserve">We may, in the future, seek to enter into collaborations or other agreements with third parties for the discovery, development and commercialization of product candidates, if approved, and we may not be successful in doing so. If those collaborations are not successful, we may not be able to capitalize on the market potential of azelaprag and any other current or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may in the future seek third-party collaborators for research, development and commercialization of azelaprag or future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the amount and timing of resources that our collaborators dedicate to the development or commercialization of our product candidates. Moreover, our ability to generate revenues from these arrangements will depend on our collaborators abilities to successfully perform the functions assigned to them in these arrangements. </w:t>
      </w:r>
    </w:p>
    <w:p>
      <w:pPr>
        <w:pStyle w:val="TextBody"/>
        <w:bidi w:val="0"/>
        <w:spacing w:before="240" w:after="0"/>
        <w:jc w:val="both"/>
        <w:rPr>
          <w:rFonts w:ascii="Times New Roman" w:hAnsi="Times New Roman"/>
          <w:sz w:val="20"/>
        </w:rPr>
      </w:pPr>
      <w:r>
        <w:rPr>
          <w:rFonts w:ascii="Times New Roman" w:hAnsi="Times New Roman"/>
          <w:sz w:val="20"/>
        </w:rPr>
        <w:t xml:space="preserve">Collaborations involving our technology currently pose, and will continue to pose, the following risks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have significant discretion in determining the efforts and resources that they will apply to these collaborations and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may de-emphasize or not pursue development and commercialization of any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any product candidates if the collaborators believe that competitive products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collaborator with marketing and distribution rights to multiple products may not commit sufficient resources to the marketing and distribution of our product, if approved, relative to other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disputes may arise between the collaborators and us that result in the delay or termination of the research, development or, if approved, commercialization of any product candidates or that result in costly litigation or arbitration that diverts management attention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collaborations may be terminated and, if terminated, may result in a need for additional capital to pursue further development or, if approved, commercialization of the applicable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collaboration agreements may not lead to development or, if approved, commercialization of product candidates in the most efficient manner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a future collaborator of ours were to be involved in a business combination, the continued pursuit and emphasis on our product development or, if approved, commercialization program could be delayed, diminished or terminated.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the foregoing, our current and any future collaboration agreements may not lead to development or commercialization of our product candidates in the most efficient manner or at all. Moreover, if a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our current or any future collaboration agreements could have a material and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the ability to independently conduct all aspects of our clinical trials ourselves. As a result, we are dependent on third parties to conduct our ongoing and planned clinical trials of azelaprag and any future product candidates, as well as potentially preclinical studies of certain future product candidates. The timing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For example,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current Good Manufacturing Practices (cGMP) regulations. Our failure or the failure of third parties on whom we rely to comply with these regulations may require us to stop and/or repeat clinical trials, which would delay the regulatory approval process. </w:t>
      </w:r>
    </w:p>
    <w:p>
      <w:pPr>
        <w:pStyle w:val="TextBody"/>
        <w:bidi w:val="0"/>
        <w:spacing w:before="240" w:after="0"/>
        <w:jc w:val="both"/>
        <w:rPr>
          <w:rFonts w:ascii="Times New Roman" w:hAnsi="Times New Roman"/>
          <w:sz w:val="20"/>
        </w:rPr>
      </w:pPr>
      <w:r>
        <w:rPr>
          <w:rFonts w:ascii="Times New Roman" w:hAnsi="Times New Roman"/>
          <w:sz w:val="20"/>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 </w:t>
      </w:r>
    </w:p>
    <w:p>
      <w:pPr>
        <w:pStyle w:val="TextBody"/>
        <w:bidi w:val="0"/>
        <w:spacing w:before="240" w:after="0"/>
        <w:jc w:val="both"/>
        <w:rPr>
          <w:rFonts w:ascii="Times New Roman" w:hAnsi="Times New Roman"/>
          <w:sz w:val="20"/>
        </w:rPr>
      </w:pPr>
      <w:r>
        <w:rPr>
          <w:rFonts w:ascii="Times New Roman" w:hAnsi="Times New Roman"/>
          <w:sz w:val="20"/>
        </w:rPr>
        <w:t xml:space="preserve">For example, we entered into a material transfer agreement with Lilly, under which Lilly has agreed to manufacture and supply us with a certain quantity (which may be increased by mutual consent) of tirzepatide so we can sponsor a clinical trial in which azelaprag and tirzepatide are co-administered concomitantly or sequentially. If we experience difficulties procuring such products, we could be delayed or even prevented from proceeding with the clinical trials of our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azelaprag and any future product candidates and will not be able to, or may be delayed in our efforts to, successfully commercialize our products.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manufacture of pharmaceutical products, including our product candidates, such as azelaprag, is complex. Our third-party manufacturers may encounter difficulties in production, which could delay or entirely halt their ability to supply our product candidates for clinical trials or, if approved, for commercial sale.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any manufacturing facilities, and we currently contract with certain third-party manufacturers, which are located in China. We rely, and expect to continue to rely, on third parties for the manufacture of our product candidates and related raw materials for preclinical and clinical testing, product development purposes, to support regulatory application submissions, as well as for commercial manufacture if any of our product candidates obtain regulatory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and public health epidemics, may impact our ability to procure sufficient supplies for the development of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Furthermore, since some of our third-party manufacturers are located in China, we are exposed to the possibility of product supply disruption and increased costs in the event of changes in the policies of the United States or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If enacted as presently proposed, the BIOSECURE Act would, among other things, prohibit U.S. federal agencies from entering into or renewing any contract with any entity that uses biotechnology equipment or services produced or provided by a biotechnology company of concern to perform that contract as well as authorize the U.S. government to name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Chinese biotechnology companies of concern. The BIOSECURE Act defines a biotechnology company of concern to include WuXi Apptec and its affiliates (WuXi). We are presently party to agreements with WuXi, pursuant to which WuXi provides development and manufacturing services to us. If these bills become law, or similar laws are passed, they would have the potential to severely restrict our ability to work with Chinese biotechnology manufacturing companies without losing the ability to contract with, or otherwise receive funding from, the U.S. government. We cannot predict what actions may ultimately be taken with respect to trade relations between the United States and China or other countries, what products and services may be subject to such actions or what actions may be taken by China or the other countries in retaliation. </w:t>
      </w:r>
    </w:p>
    <w:p>
      <w:pPr>
        <w:pStyle w:val="TextBody"/>
        <w:bidi w:val="0"/>
        <w:spacing w:before="240" w:after="0"/>
        <w:jc w:val="both"/>
        <w:rPr>
          <w:rFonts w:ascii="Times New Roman" w:hAnsi="Times New Roman"/>
          <w:sz w:val="20"/>
        </w:rPr>
      </w:pPr>
      <w:r>
        <w:rPr>
          <w:rFonts w:ascii="Times New Roman" w:hAnsi="Times New Roman"/>
          <w:sz w:val="20"/>
        </w:rPr>
        <w:t xml:space="preserve">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 </w:t>
      </w:r>
    </w:p>
    <w:p>
      <w:pPr>
        <w:pStyle w:val="TextBody"/>
        <w:bidi w:val="0"/>
        <w:spacing w:before="240" w:after="0"/>
        <w:jc w:val="both"/>
        <w:rPr>
          <w:rFonts w:ascii="Times New Roman" w:hAnsi="Times New Roman"/>
          <w:sz w:val="20"/>
        </w:rPr>
      </w:pPr>
      <w:r>
        <w:rPr>
          <w:rFonts w:ascii="Times New Roman" w:hAnsi="Times New Roman"/>
          <w:sz w:val="20"/>
        </w:rPr>
        <w:t xml:space="preserve">We may be unable to enter into additional agreements with third-party manufacturers or suppliers on favorable terms. Our anticipated reliance on a limited number of third party-manufacturers or suppliers exposes us to the following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reliance on the third party for regulatory, compliance and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reliance on the third party for product development, analytical testing and data generation to support regulatory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possible 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possible misappropriation of our proprietary information, including our trade secrets and know-how;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possible termination or nonrenewal of the agreement by the third party at a time that is costly or inconvenient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carrier disruptions or increased costs that are beyond our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deliver our drugs under specified storage conditions and in a timely manner.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Third-party manufacturers may not be able to comply with cGMP regulations or similar regulatory requirements outside of the United States. If the FDA determines that our CDMOs are not in compliance with FDA laws and regulations, including those governing cGMPs, the FDA may not approve a new drug application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CDMOs are subject to continual review and periodic inspections to assess compliance with cGMPs. Furthermore, although we do not have day-to-day control over the operations of our CDMOs, we are responsible for ensuring compliance with applicable laws and regulations, including cGMPs. </w:t>
      </w:r>
    </w:p>
    <w:p>
      <w:pPr>
        <w:pStyle w:val="TextBody"/>
        <w:bidi w:val="0"/>
        <w:spacing w:before="240" w:after="0"/>
        <w:jc w:val="both"/>
        <w:rPr>
          <w:rFonts w:ascii="Times New Roman" w:hAnsi="Times New Roman"/>
          <w:sz w:val="20"/>
        </w:rPr>
      </w:pPr>
      <w:r>
        <w:rPr>
          <w:rFonts w:ascii="Times New Roman" w:hAnsi="Times New Roman"/>
          <w:sz w:val="20"/>
        </w:rPr>
        <w:t xml:space="preserve">Our product candidates and any products that we may develop may compete with other product candidates and products for access to manufacturing facilities. As a result, we may not obtain access to these facilities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priority basis or at all. There are a limited number of manufacturers that operate under cGMP regulations and that might be capable of manufacturing for us. </w:t>
      </w:r>
    </w:p>
    <w:p>
      <w:pPr>
        <w:pStyle w:val="TextBody"/>
        <w:bidi w:val="0"/>
        <w:spacing w:before="240" w:after="0"/>
        <w:jc w:val="both"/>
        <w:rPr>
          <w:rFonts w:ascii="Times New Roman" w:hAnsi="Times New Roman"/>
          <w:sz w:val="20"/>
        </w:rPr>
      </w:pPr>
      <w:r>
        <w:rPr>
          <w:rFonts w:ascii="Times New Roman" w:hAnsi="Times New Roman"/>
          <w:sz w:val="20"/>
        </w:rPr>
        <w:t xml:space="preserve">As we prepare for later-stage clinical trials and potential commercialization, we will need to take steps to increase the scale of production of our product candidates. We have not yet scaled up the manufacturing process for any of our product candidates apart from azelaprag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t>
      </w:r>
    </w:p>
    <w:p>
      <w:pPr>
        <w:pStyle w:val="TextBody"/>
        <w:bidi w:val="0"/>
        <w:spacing w:before="240" w:after="0"/>
        <w:jc w:val="both"/>
        <w:rPr>
          <w:rFonts w:ascii="Times New Roman" w:hAnsi="Times New Roman"/>
          <w:sz w:val="20"/>
        </w:rPr>
      </w:pPr>
      <w:r>
        <w:rPr>
          <w:rFonts w:ascii="Times New Roman" w:hAnsi="Times New Roman"/>
          <w:sz w:val="20"/>
        </w:rPr>
        <w:t xml:space="preserve">Any performance failure on the part of our existing or future manufacturers could delay clinical development or regulatory approval. We expect to have an arrangement in place for a redundant supply or a second source for the active pharmaceutical ingredients of API in 2024. If our current CDMOs cannot perform as agreed, we may be required to replace such CDMOs.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In this case, our clinical trials supply could be delayed significantly as we establish alternative supply sources.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third-party manufacturers may experience manufacturing or shipping difficulties due to resource constraints or as a result of natural disasters, labor disputes, unstable political environments or public health epidemics. </w:t>
      </w:r>
    </w:p>
    <w:p>
      <w:pPr>
        <w:pStyle w:val="TextBody"/>
        <w:bidi w:val="0"/>
        <w:spacing w:before="240" w:after="0"/>
        <w:jc w:val="both"/>
        <w:rPr>
          <w:rFonts w:ascii="Times New Roman" w:hAnsi="Times New Roman"/>
          <w:sz w:val="20"/>
        </w:rPr>
      </w:pPr>
      <w:r>
        <w:rPr>
          <w:rFonts w:ascii="Times New Roman" w:hAnsi="Times New Roman"/>
          <w:sz w:val="20"/>
        </w:rPr>
        <w:t xml:space="preserve">Our current and anticipated future dependence upon others for the manufacture of our product candidates or products may adversely affect our future profit margins and our ability to commercialize any products that obtain regulatory approval on a timely and competitive basis.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or any contract manufacturers or suppliers we engage, fail to comply with environmental, health and safety laws and regulations, we could become subject to fines or penalties or incur costs that could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leasing and operation of real property may subject us to liability pursuant to certain of these laws or regulations. Under existing United States environmental laws and regulations, current or previous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240" w:after="0"/>
        <w:jc w:val="both"/>
        <w:rPr>
          <w:rFonts w:ascii="Times New Roman" w:hAnsi="Times New Roman"/>
          <w:sz w:val="20"/>
        </w:rPr>
      </w:pPr>
      <w:r>
        <w:rPr>
          <w:rFonts w:ascii="Times New Roman" w:hAnsi="Times New Roman"/>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Intellectual Property </w:t>
      </w:r>
    </w:p>
    <w:p>
      <w:pPr>
        <w:pStyle w:val="TextBody"/>
        <w:bidi w:val="0"/>
        <w:spacing w:before="240" w:after="0"/>
        <w:jc w:val="both"/>
        <w:rPr>
          <w:rFonts w:ascii="Times New Roman" w:hAnsi="Times New Roman"/>
          <w:b/>
          <w:i/>
          <w:sz w:val="20"/>
        </w:rPr>
      </w:pPr>
      <w:r>
        <w:rPr>
          <w:rFonts w:ascii="Times New Roman" w:hAnsi="Times New Roman"/>
          <w:b/>
          <w:i/>
          <w:sz w:val="20"/>
        </w:rPr>
        <w:t xml:space="preserve">If we do not obtain patent term extension for any product candidates we may develop, our business may be harmed. </w:t>
      </w:r>
    </w:p>
    <w:p>
      <w:pPr>
        <w:pStyle w:val="TextBody"/>
        <w:bidi w:val="0"/>
        <w:spacing w:before="120" w:after="0"/>
        <w:jc w:val="both"/>
        <w:rPr>
          <w:rFonts w:ascii="Times New Roman" w:hAnsi="Times New Roman"/>
          <w:sz w:val="20"/>
        </w:rPr>
      </w:pPr>
      <w:r>
        <w:rPr>
          <w:rFonts w:ascii="Times New Roman" w:hAnsi="Times New Roman"/>
          <w:sz w:val="20"/>
        </w:rPr>
        <w:t xml:space="preserve">Depending upon the timing, duration and specifics of any FDA regulatory approval of azelaprag and any other product candidates we may develop and our technology, our U.S. patents or one or more U.S. patents that may issue in the future based on a patent application that we license or own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w:t>
      </w:r>
    </w:p>
    <w:p>
      <w:pPr>
        <w:pStyle w:val="TextBody"/>
        <w:bidi w:val="0"/>
        <w:spacing w:before="240" w:after="0"/>
        <w:jc w:val="both"/>
        <w:rPr>
          <w:rFonts w:ascii="Times New Roman" w:hAnsi="Times New Roman"/>
          <w:sz w:val="20"/>
        </w:rPr>
      </w:pPr>
      <w:r>
        <w:rPr>
          <w:rFonts w:ascii="Times New Roman" w:hAnsi="Times New Roman"/>
          <w:sz w:val="20"/>
        </w:rPr>
        <w:t xml:space="preserve">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Patent terms may be insufficient to protect our competitive position on azelaprag and any future product candidates for an adequate amount of time. </w:t>
      </w:r>
    </w:p>
    <w:p>
      <w:pPr>
        <w:pStyle w:val="TextBody"/>
        <w:bidi w:val="0"/>
        <w:spacing w:before="120" w:after="0"/>
        <w:jc w:val="both"/>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azelaprag or any future product candidates are obtained, once the patent life has expired,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may be open to competition from competitive products, including generics.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identical or similar to ours. </w:t>
      </w:r>
    </w:p>
    <w:p>
      <w:pPr>
        <w:pStyle w:val="TextBody"/>
        <w:bidi w:val="0"/>
        <w:spacing w:before="360" w:after="0"/>
        <w:jc w:val="both"/>
        <w:rPr>
          <w:rFonts w:ascii="Times New Roman" w:hAnsi="Times New Roman"/>
          <w:b/>
          <w:i/>
          <w:sz w:val="20"/>
        </w:rPr>
      </w:pPr>
      <w:r>
        <w:rPr>
          <w:rFonts w:ascii="Times New Roman" w:hAnsi="Times New Roman"/>
          <w:b/>
          <w:i/>
          <w:sz w:val="20"/>
        </w:rPr>
        <w:t xml:space="preserve">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both"/>
        <w:rPr>
          <w:rFonts w:ascii="Times New Roman" w:hAnsi="Times New Roman"/>
          <w:sz w:val="20"/>
        </w:rPr>
      </w:pPr>
      <w:r>
        <w:rPr>
          <w:rFonts w:ascii="Times New Roman" w:hAnsi="Times New Roman"/>
          <w:sz w:val="20"/>
        </w:rPr>
        <w:t xml:space="preserve">Periodic maintenance fees, renewal fees, annuity fees and various other governmental fees on patents and/or applications will be due to be paid to the U.S. Patent and Trademark Office (USPTO) and various governmental patent agencies outside of the United States in several stages over the lifetime of the patents and/or applications. We have systems in place to remind us to pay these fees, and we employ an outside firm and/or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 </w:t>
      </w:r>
    </w:p>
    <w:p>
      <w:pPr>
        <w:pStyle w:val="TextBody"/>
        <w:bidi w:val="0"/>
        <w:spacing w:before="360" w:after="0"/>
        <w:jc w:val="both"/>
        <w:rPr>
          <w:rFonts w:ascii="Times New Roman" w:hAnsi="Times New Roman"/>
          <w:b/>
          <w:i/>
          <w:sz w:val="20"/>
        </w:rPr>
      </w:pPr>
      <w:r>
        <w:rPr>
          <w:rFonts w:ascii="Times New Roman" w:hAnsi="Times New Roman"/>
          <w:b/>
          <w:i/>
          <w:sz w:val="20"/>
        </w:rPr>
        <w:t xml:space="preserve">Changes in U.S. patent and ex-U.S. patent laws could diminish the value of patents in general, thereby impairing our ability to protect our current or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 </w:t>
      </w:r>
    </w:p>
    <w:p>
      <w:pPr>
        <w:pStyle w:val="TextBody"/>
        <w:bidi w:val="0"/>
        <w:spacing w:before="240" w:after="0"/>
        <w:jc w:val="both"/>
        <w:rPr>
          <w:rFonts w:ascii="Times New Roman" w:hAnsi="Times New Roman"/>
          <w:sz w:val="20"/>
        </w:rPr>
      </w:pPr>
      <w:r>
        <w:rPr>
          <w:rFonts w:ascii="Times New Roman" w:hAnsi="Times New Roman"/>
          <w:sz w:val="20"/>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 grant proceedings, including post-grant review, </w:t>
      </w:r>
      <w:r>
        <w:rPr>
          <w:rFonts w:ascii="Times New Roman" w:hAnsi="Times New Roman"/>
          <w:i/>
          <w:sz w:val="20"/>
        </w:rPr>
        <w:t>inter partes</w:t>
      </w:r>
      <w:r>
        <w:rPr>
          <w:rFonts w:ascii="Times New Roman" w:hAnsi="Times New Roman"/>
          <w:sz w:val="20"/>
        </w:rPr>
        <w:t xml:space="preserve"> review, and derivation proceedings. </w:t>
      </w:r>
    </w:p>
    <w:p>
      <w:pPr>
        <w:pStyle w:val="TextBody"/>
        <w:bidi w:val="0"/>
        <w:spacing w:before="240" w:after="0"/>
        <w:jc w:val="both"/>
        <w:rPr>
          <w:rFonts w:ascii="Times New Roman" w:hAnsi="Times New Roman"/>
          <w:sz w:val="20"/>
        </w:rPr>
      </w:pPr>
      <w:r>
        <w:rPr>
          <w:rFonts w:ascii="Times New Roman" w:hAnsi="Times New Roman"/>
          <w:sz w:val="20"/>
        </w:rPr>
        <w:t xml:space="preserve">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240" w:after="0"/>
        <w:jc w:val="both"/>
        <w:rPr>
          <w:rFonts w:ascii="Times New Roman" w:hAnsi="Times New Roman"/>
          <w:sz w:val="20"/>
        </w:rPr>
      </w:pPr>
      <w:r>
        <w:rPr>
          <w:rFonts w:ascii="Times New Roman" w:hAnsi="Times New Roman"/>
          <w:sz w:val="20"/>
        </w:rPr>
        <w:t xml:space="preserve">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For example, in the case, Assoc. for Molecular Pathology v. Myriad Genetics, Inc., the U.S. Supreme Court held that claims to certain DNA molecules are not patentable. In Amgen Inc. v. Sanofi, the Federal Circuit held that claims with functional language may face high hurdles in fulfilling the enablement requirement. Recent decisions raise questions regarding the award of patent term adjustment (PTA) for patents where related patents have been issued without a PTA. Thus, it cannot be said with certainty how PTA will or will not be viewed in future and whether patent expiration dates may be impacted. We cannot predict how this and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our trademarks and trade names are not adequately protected, we may not be able to build name recognition in our markets of interest and our business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w:t>
      </w:r>
    </w:p>
    <w:p>
      <w:pPr>
        <w:pStyle w:val="TextBody"/>
        <w:bidi w:val="0"/>
        <w:spacing w:before="240" w:after="0"/>
        <w:jc w:val="both"/>
        <w:rPr>
          <w:rFonts w:ascii="Times New Roman" w:hAnsi="Times New Roman"/>
          <w:sz w:val="20"/>
        </w:rPr>
      </w:pPr>
      <w:r>
        <w:rPr>
          <w:rFonts w:ascii="Times New Roman" w:hAnsi="Times New Roman"/>
          <w:sz w:val="20"/>
        </w:rPr>
        <w:t xml:space="preserve">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360" w:after="0"/>
        <w:jc w:val="both"/>
        <w:rPr>
          <w:rFonts w:ascii="Times New Roman" w:hAnsi="Times New Roman"/>
          <w:b/>
          <w:i/>
          <w:sz w:val="20"/>
        </w:rPr>
      </w:pPr>
      <w:r>
        <w:rPr>
          <w:rFonts w:ascii="Times New Roman" w:hAnsi="Times New Roman"/>
          <w:b/>
          <w:i/>
          <w:sz w:val="20"/>
        </w:rPr>
        <w:t xml:space="preserve">Intellectual property rights do not necessarily address all potential threats to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be able to develop products that are similar to our product candidates but that are not covered by the claims of the patents that we own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make the inventions covered by the issued patents or patent application that we own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licensors or collaborators might not have been the first to file patent applications covering certain of our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is possible that the pending patent applications we own or license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issued patents that we own or license may be held invalid or unenforceable, as a result of legal challenges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fail to adequately protect and police our trademarks and trade secrets;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choose not to file a patent in order to maintain certain trade secrets or know-how, and a third party may subsequently file a patent covering such intellectual property. </w:t>
            </w:r>
          </w:p>
        </w:tc>
      </w:tr>
    </w:tbl>
    <w:p>
      <w:pPr>
        <w:pStyle w:val="TextBody"/>
        <w:bidi w:val="0"/>
        <w:spacing w:before="240" w:after="0"/>
        <w:jc w:val="both"/>
        <w:rPr>
          <w:rFonts w:ascii="Times New Roman" w:hAnsi="Times New Roman"/>
          <w:sz w:val="20"/>
        </w:rPr>
      </w:pPr>
      <w:r>
        <w:rPr>
          <w:rFonts w:ascii="Times New Roman" w:hAnsi="Times New Roman"/>
          <w:sz w:val="20"/>
        </w:rPr>
        <w:t xml:space="preserve">Should any of these events occur, it could significantly harm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b/>
          <w:i/>
          <w:sz w:val="20"/>
        </w:rPr>
        <w:t xml:space="preserve">Our rights to develop and commercialize our lead product candidate, azelaprag, as well as certain future products, are or may be subject to the terms and conditions of license agreements. </w:t>
      </w:r>
      <w:r>
        <w:rPr>
          <w:rFonts w:ascii="Times New Roman" w:hAnsi="Times New Roman"/>
          <w:sz w:val="20"/>
        </w:rPr>
        <w:t xml:space="preserve">We have in the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licensed, and may in future license, certain patent rights and proprietary technology from third parties that are important or necessary to the development of our product candidates. For example, On April 5, 2021, we entered into an exclusive license agreement (the Amgen Agreement) with Amgen Inc. (Amgen), pursuant to which we have an exclusive, worldwide license, with the right to sublicense (subject to certain conditions), under Amgens rights in specified patents relating to Amgens clinical-stage apelin receptor APJ agonist azelaprag (named AMG 986 by Amgen) as well as their other APJ agonists. The Amgen Agreement imposes various diligence, milestone payment, royalty, insurance, indemnification and other obligations on us. If we breach any material obligation, or use the intellectual property licensed to us in an unauthorized manner, we may be required to pay damages and Amgen may have the right to terminate the license. If the license is terminated, we may be unable to develop, manufacture, sell, or use azelaprag and Amgen may allow a competitor to license the covered technology instead. For more information regarding this agreement, please see BusinessMaterial Agreements. </w:t>
      </w:r>
    </w:p>
    <w:p>
      <w:pPr>
        <w:pStyle w:val="TextBody"/>
        <w:bidi w:val="0"/>
        <w:spacing w:before="240" w:after="0"/>
        <w:jc w:val="both"/>
        <w:rPr>
          <w:rFonts w:ascii="Times New Roman" w:hAnsi="Times New Roman"/>
          <w:sz w:val="20"/>
        </w:rPr>
      </w:pPr>
      <w:r>
        <w:rPr>
          <w:rFonts w:ascii="Times New Roman" w:hAnsi="Times New Roman"/>
          <w:sz w:val="20"/>
        </w:rPr>
        <w:t xml:space="preserve">Out-license agreements we may enter into in the future may include exclusivity terms limiting our ability to develop product candidates that may compete with the relevant licensed target or product. If such exclusivity restrictions prevent us from developing or commercializing our technologies in a way that we deem necessary to gain or maintain our competitive advantage, it may have a material adverse effect on our competitive position, business, financial conditions,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may not have complete control in the preparation, filing, prosecution, maintenance, enforcement and defense of patents and patent applications covering the technology that we license from third parties. For example, under the Amgen Agreement, we have the first right to file, prosecute, maintain and enforce the licensed patents, and Amgen has the option to take over prosecution, maintenance and enforcement activities should we decline to take such actions. Amgen also has the right to comment on prosecution and maintenance activities, and cooperate on enforcement activities.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 </w:t>
      </w:r>
    </w:p>
    <w:p>
      <w:pPr>
        <w:pStyle w:val="TextBody"/>
        <w:bidi w:val="0"/>
        <w:spacing w:before="240" w:after="0"/>
        <w:jc w:val="both"/>
        <w:rPr>
          <w:rFonts w:ascii="Times New Roman" w:hAnsi="Times New Roman"/>
          <w:sz w:val="20"/>
        </w:rPr>
      </w:pPr>
      <w:r>
        <w:rPr>
          <w:rFonts w:ascii="Times New Roman" w:hAnsi="Times New Roman"/>
          <w:sz w:val="20"/>
        </w:rPr>
        <w:t xml:space="preserve">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breach our license agreements it could have a material adverse effect on our commercialization efforts for azelaprag and any future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the Amgen Agreement that enables us to utilize certain of Amgens intellectual property in the development and commercialization of azelaprag, and we may in the future enter into more such license agreements with third parties under which we license the use, development and commercialization rights to current or future product candidates or technology from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These intellectual property license agreements may require us to comply with various obligations, including diligence obligations such as development and commercialization obligations, as well as potential royalty and milestone payments and other obligations. If we fail to comply with our obligations under any of these license agreements, use the licensed intellectual property in an unauthorized manner, we are subject to bankruptcy-related proceedings or otherwise materially breach any of these license agreements, the terms of the license granted may be materially modified, such as by rendering currently exclusive licenses non-exclusive, or it may give our licensors the right to terminate the applicable license agreement, in whole or in part. Generally, the loss of or termination of our rights under the Amgen Agreement, or any other licenses we may acquire in the future, could harm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We may also, in the future, enter into license agreements with third parties under which we are a sublicensee. If our sublicense or fails to comply with its obligations under its upstream license agreement with its licensor, the licensor may have the right to terminate the upstream license, which may result in termination of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product candidates incorporating the relevant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of rights granted under the Amgen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right to sublicense patent and other intellectual property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product candidates,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calculation of total payment amount due if we develop multiple products under the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right to transfer or assign the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our licensors and us and our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whether and the extent to which inventors are able to contest the assignment of their rights to our licensors.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disputes over intellectual property that we have licensed or license in the future prevent or impair our ability to maintain our current licensing arrangements on acceptable terms or at all, we may be unable to successfully develop and commercialize the affected product candidates, which could have material adverse effect on our business.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Further, certain of our future license agreements with third parties may limit or delay our ability to consummate certain transactions, may impact the value of those transactions or may limit our ability to pursue certain activities (e.g., we may in the future enter into license agreements that are not assignable or transferable, or that require the licensors express consent in order for an assignment or transfer to take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Third-party claims of intellectual property infringement may prevent or delay our product discovery and development efforts. </w:t>
      </w:r>
    </w:p>
    <w:p>
      <w:pPr>
        <w:pStyle w:val="TextBody"/>
        <w:bidi w:val="0"/>
        <w:spacing w:before="120" w:after="0"/>
        <w:jc w:val="both"/>
        <w:rPr>
          <w:rFonts w:ascii="Times New Roman" w:hAnsi="Times New Roman"/>
          <w:sz w:val="20"/>
        </w:rPr>
      </w:pPr>
      <w:r>
        <w:rPr>
          <w:rFonts w:ascii="Times New Roman" w:hAnsi="Times New Roman"/>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inter partes</w:t>
      </w:r>
      <w:r>
        <w:rPr>
          <w:rFonts w:ascii="Times New Roman" w:hAnsi="Times New Roman"/>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that may be relevant to our product candidates. Thus, because of the large number of patents issued and patent applications filed in our fields, there may be a risk that third parties may allege they have patent rights encompassing our product candidates, technologies or methods. If any such patent were to be asserted against us, we may have defenses against any such action, including that these patents would not be infringed by our product candidates and/or that these patents are not valid. However, if these patents were asserted against us and our defenses to such an action were unsuccessful, unless we obtain a license to these patents, which may not be available on commercially reasonable terms, or at all, we could be liable for damages and precluded from commercializing azelaprag in certain indications, which could have a material adverse effect on our business, financial condition, cash flows or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If a third-party claims that we infringe its intellectual property rights, we may face a number of issues,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our managements attention from our core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court prohibiting us from developing, manufacturing, marketing or selling our product candidates, or from using our proprietary technologies, unless the third party licenses its product rights to us, which it is not required to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a license is available from a third party, we may have to pay substantial royalties, upfront fees and other amounts, and/or grant cross-licenses to intellectual property rights for our products,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redesigning our product candidates or processes so they do not infringe, which may not be possible or may require substantial monetary expenditures and time. </w:t>
            </w:r>
          </w:p>
        </w:tc>
      </w:tr>
    </w:tbl>
    <w:p>
      <w:pPr>
        <w:pStyle w:val="TextBody"/>
        <w:bidi w:val="0"/>
        <w:spacing w:before="240" w:after="0"/>
        <w:jc w:val="both"/>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240" w:after="0"/>
        <w:jc w:val="both"/>
        <w:rPr>
          <w:rFonts w:ascii="Times New Roman" w:hAnsi="Times New Roman"/>
          <w:sz w:val="20"/>
        </w:rPr>
      </w:pPr>
      <w:r>
        <w:rPr>
          <w:rFonts w:ascii="Times New Roman" w:hAnsi="Times New Roman"/>
          <w:sz w:val="20"/>
        </w:rPr>
        <w:t xml:space="preserve">Third parties may assert that we are employing their proprietary technology without authorization. Generally, conducting clinical trials and other development activities in the United States is protected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Safe Harbor exemption as set forth in 35 U.S.C. § 271. If and when azelaprag or any future product candidate is approved by the FDA, a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molecules used in or formed during the manufacturing process, or the product candidate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manufacturing process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240" w:after="0"/>
        <w:jc w:val="both"/>
        <w:rPr>
          <w:rFonts w:ascii="Times New Roman" w:hAnsi="Times New Roman"/>
          <w:sz w:val="20"/>
        </w:rPr>
      </w:pPr>
      <w:r>
        <w:rPr>
          <w:rFonts w:ascii="Times New Roman" w:hAnsi="Times New Roman"/>
          <w:sz w:val="20"/>
        </w:rPr>
        <w:t xml:space="preserve">Lastly, we may need to indemnify our customers and distributors against claims relating to the infringement of intellectual property rights of third parties related to our product candidates, including azelaprag.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if approved, or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both"/>
        <w:rPr>
          <w:rFonts w:ascii="Times New Roman" w:hAnsi="Times New Roman"/>
          <w:sz w:val="20"/>
        </w:rPr>
      </w:pPr>
      <w:r>
        <w:rPr>
          <w:rFonts w:ascii="Times New Roman" w:hAnsi="Times New Roman"/>
          <w:sz w:val="20"/>
        </w:rPr>
        <w:t xml:space="preserve">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w:t>
      </w:r>
    </w:p>
    <w:p>
      <w:pPr>
        <w:pStyle w:val="TextBody"/>
        <w:bidi w:val="0"/>
        <w:spacing w:before="240" w:after="0"/>
        <w:jc w:val="both"/>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both"/>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would be harmed.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patent protection,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240" w:after="0"/>
        <w:jc w:val="both"/>
        <w:rPr>
          <w:rFonts w:ascii="Times New Roman" w:hAnsi="Times New Roman"/>
          <w:sz w:val="20"/>
        </w:rPr>
      </w:pPr>
      <w:r>
        <w:rPr>
          <w:rFonts w:ascii="Times New Roman" w:hAnsi="Times New Roman"/>
          <w:sz w:val="20"/>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0"/>
        <w:jc w:val="both"/>
        <w:rPr>
          <w:rFonts w:ascii="Times New Roman" w:hAnsi="Times New Roman"/>
          <w:b/>
          <w:i/>
          <w:sz w:val="20"/>
        </w:rPr>
      </w:pPr>
      <w:r>
        <w:rPr>
          <w:rFonts w:ascii="Times New Roman" w:hAnsi="Times New Roman"/>
          <w:b/>
          <w:i/>
          <w:sz w:val="20"/>
        </w:rPr>
        <w:t xml:space="preserve">Third-party claims of intellectual property infringement, misappropriation or other violations against us or our collaborators could be expensive and time consuming and may prevent or delay the development and commercialization of our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Such challenges may result in loss of exclusivity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 </w:t>
      </w:r>
    </w:p>
    <w:p>
      <w:pPr>
        <w:pStyle w:val="TextBody"/>
        <w:bidi w:val="0"/>
        <w:spacing w:before="240" w:after="0"/>
        <w:jc w:val="both"/>
        <w:rPr>
          <w:rFonts w:ascii="Times New Roman" w:hAnsi="Times New Roman"/>
          <w:sz w:val="20"/>
        </w:rPr>
      </w:pPr>
      <w:r>
        <w:rPr>
          <w:rFonts w:ascii="Times New Roman" w:hAnsi="Times New Roman"/>
          <w:sz w:val="20"/>
        </w:rPr>
        <w:t xml:space="preserve">Numerous U.S. and foreign issued patents and pending patent applications owned by third parties exist in the fields in which we are commercializing or plan to commercialize azelaprag. As the biotechnology and pharmaceutical industries expand and more patents are issued, and as we gain greater visibility and market exposure as a public company, the risk increases that azelaprag or any future product candidates, and commercializing activities may give rise to claims of infringement of the patent rights of others. We cannot assure you that azelaprag or any future product candidates will not infringe existing or future patents owned by third parties. We may not be aware of patents that have already been issued for which a third party, such as a competitor in the fields in which we are developing azelaprag or our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azelaprag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delayed, which could in turn significantly harm our business. In addition, we may in the future pursue patent challenges with respect to third-party patents, including as a defense against the foregoing infringement claims. The outcome of such challenges is unpredictable. </w:t>
      </w:r>
    </w:p>
    <w:p>
      <w:pPr>
        <w:pStyle w:val="TextBody"/>
        <w:bidi w:val="0"/>
        <w:spacing w:before="240" w:after="0"/>
        <w:jc w:val="both"/>
        <w:rPr>
          <w:rFonts w:ascii="Times New Roman" w:hAnsi="Times New Roman"/>
          <w:sz w:val="20"/>
        </w:rPr>
      </w:pPr>
      <w:r>
        <w:rPr>
          <w:rFonts w:ascii="Times New Roman" w:hAnsi="Times New Roman"/>
          <w:sz w:val="20"/>
        </w:rPr>
        <w:t xml:space="preserve">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inventorship of our patents and other intellectual property. </w:t>
      </w:r>
    </w:p>
    <w:p>
      <w:pPr>
        <w:pStyle w:val="TextBody"/>
        <w:bidi w:val="0"/>
        <w:spacing w:before="120" w:after="0"/>
        <w:jc w:val="both"/>
        <w:rPr>
          <w:rFonts w:ascii="Times New Roman" w:hAnsi="Times New Roman"/>
          <w:sz w:val="20"/>
        </w:rPr>
      </w:pPr>
      <w:r>
        <w:rPr>
          <w:rFonts w:ascii="Times New Roman" w:hAnsi="Times New Roman"/>
          <w:sz w:val="20"/>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spacing w:before="360" w:after="0"/>
        <w:jc w:val="both"/>
        <w:rPr>
          <w:rFonts w:ascii="Times New Roman" w:hAnsi="Times New Roman"/>
          <w:b/>
          <w:i/>
          <w:sz w:val="20"/>
        </w:rPr>
      </w:pPr>
      <w:r>
        <w:rPr>
          <w:rFonts w:ascii="Times New Roman" w:hAnsi="Times New Roman"/>
          <w:b/>
          <w:i/>
          <w:sz w:val="20"/>
        </w:rPr>
        <w:t xml:space="preserve">Third party claims or litigation alleging infringement of patents or other proprietary rights, or seeking to invalidate our patents or other proprietary rights, may delay or prevent the development and commercialization of our current or future product candidates or technologies. </w:t>
      </w:r>
    </w:p>
    <w:p>
      <w:pPr>
        <w:pStyle w:val="TextBody"/>
        <w:bidi w:val="0"/>
        <w:spacing w:before="120" w:after="0"/>
        <w:jc w:val="both"/>
        <w:rPr>
          <w:rFonts w:ascii="Times New Roman" w:hAnsi="Times New Roman"/>
          <w:sz w:val="20"/>
        </w:rPr>
      </w:pPr>
      <w:r>
        <w:rPr>
          <w:rFonts w:ascii="Times New Roman" w:hAnsi="Times New Roman"/>
          <w:sz w:val="20"/>
        </w:rPr>
        <w:t xml:space="preserve">Our commercial success depends in part on our avoiding infringement and other violations of the patents and proprietary rights of third parties. The intellectual property landscape around obesity and metabolic diseases drug development is highly dynamic and there is a substantial amount of litigation, both within and outside the United States, involving patent and other intellectual property rights in the biopharmaceutical industry. Potential litigation could include patent infringement lawsuits, derivation and administrative law proceedings, </w:t>
      </w:r>
      <w:r>
        <w:rPr>
          <w:rFonts w:ascii="Times New Roman" w:hAnsi="Times New Roman"/>
          <w:i/>
          <w:sz w:val="20"/>
        </w:rPr>
        <w:t>inter partes</w:t>
      </w:r>
      <w:r>
        <w:rPr>
          <w:rFonts w:ascii="Times New Roman" w:hAnsi="Times New Roman"/>
          <w:sz w:val="20"/>
        </w:rPr>
        <w:t xml:space="preserve"> review and post-grant review before the USPTO, as well as oppositions and similar processes in foreign jurisdictions. As the fields of treating obesity and metabolic diseases continue to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 Also, there may be third 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or technologies may infringe.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Defense of third-party claims of patent infringement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third parties may obtain patent rights in the future and claim that use of our product candidates or other technologies infringe upon these rights. If any third-party patents were held by a court of competent jurisdiction to cover our product candidates, or any aspect of their manufacture or use, the holders of any such patents may be able to block our ability to commercialize such product candidate or technology unless we obtain a license under the applicable patents, or until such patents expire.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before="240" w:after="0"/>
        <w:jc w:val="both"/>
        <w:rPr>
          <w:rFonts w:ascii="Times New Roman" w:hAnsi="Times New Roman"/>
          <w:sz w:val="20"/>
        </w:rPr>
      </w:pPr>
      <w:r>
        <w:rPr>
          <w:rFonts w:ascii="Times New Roman" w:hAnsi="Times New Roman"/>
          <w:sz w:val="20"/>
        </w:rPr>
        <w:t xml:space="preserve">Parties making claims against us may seek and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or technologies, which may be impossible or require substantial time and monetary expenditure. We cannot predict whether any such license would be available at all or whether it would be available on commercially reasonable terms. </w:t>
      </w:r>
    </w:p>
    <w:p>
      <w:pPr>
        <w:pStyle w:val="TextBody"/>
        <w:bidi w:val="0"/>
        <w:spacing w:before="240" w:after="0"/>
        <w:jc w:val="both"/>
        <w:rPr>
          <w:rFonts w:ascii="Times New Roman" w:hAnsi="Times New Roman"/>
          <w:sz w:val="20"/>
        </w:rPr>
      </w:pPr>
      <w:r>
        <w:rPr>
          <w:rFonts w:ascii="Times New Roman" w:hAnsi="Times New Roman"/>
          <w:sz w:val="20"/>
        </w:rPr>
        <w:t xml:space="preserve">The scope of a patent claim is a legal determination made by the courts. It is informed by the written disclosure of a patent, the patents prosecution history, and other intrinsic and extrinsic factors. Our interpretation of a patent claim may not be adopted during a patent litigation alleging infringement by our products. If a court does not adopt our claim interpretation and determines that our product candidates are covered by a third-party patent, we may be held liable for damages. Similarly, we may incorrectly predict whether a third-party patent application will issue with claims that cover one or more of our product candidates. If our claim interpretations are not adopted by the USPTO during prosecution of a third-party patent application, or by a court in a patent infringement dispute, our ability to develop and market our product candidates may be harmed. </w:t>
      </w:r>
    </w:p>
    <w:p>
      <w:pPr>
        <w:pStyle w:val="TextBody"/>
        <w:bidi w:val="0"/>
        <w:spacing w:before="240" w:after="0"/>
        <w:jc w:val="both"/>
        <w:rPr>
          <w:rFonts w:ascii="Times New Roman" w:hAnsi="Times New Roman"/>
          <w:sz w:val="20"/>
        </w:rPr>
      </w:pPr>
      <w:r>
        <w:rPr>
          <w:rFonts w:ascii="Times New Roman" w:hAnsi="Times New Roman"/>
          <w:sz w:val="20"/>
        </w:rPr>
        <w:t xml:space="preserve">Moreover, we, or one of our licensors, may have to participate in post-grant challenge proceedings, such as oppositions in a foreign patent office, that challenge priority of invention or other features of patentability. If we or our licensors are unsuccessful in any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licenses from third parties, including parties involved in any such proceedings. If we are unable to obtain such licenses, we may need to cease the development, manufacture and commercialization of one or more of the product candidates or technologies we may develop. The loss of exclusivity or the narrowing of our patent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could limit our ability to stop others from using or commercializing similar or identical technology and product candidates. Even if we or our licensors are successful in such a proceeding, it could result in substantial costs and be a distraction to management and other employees.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 patent landscape is crowded and highly competitive. Numerous third-party United States and foreign issued patents and pending patent applications exist in the fields in which we are developing product candidates, and they may assert infringement claims against us based on existing patents or patents that may be granted in the future, regardless of their merit. Ongoing research and development is taking place by several companies, universities, and other institutions.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publication timelines. We cannot guarantee that any patent searches we may conduct are complete or thorough enough to identify every third-party patent and pending application in the United States and/or abroad that is relevant to or necessary for the development and commercialization of our product candidates in any country. </w:t>
      </w:r>
    </w:p>
    <w:p>
      <w:pPr>
        <w:pStyle w:val="TextBody"/>
        <w:bidi w:val="0"/>
        <w:spacing w:before="240" w:after="0"/>
        <w:jc w:val="both"/>
        <w:rPr>
          <w:rFonts w:ascii="Times New Roman" w:hAnsi="Times New Roman"/>
          <w:sz w:val="20"/>
        </w:rPr>
      </w:pPr>
      <w:r>
        <w:rPr>
          <w:rFonts w:ascii="Times New Roman" w:hAnsi="Times New Roman"/>
          <w:sz w:val="20"/>
        </w:rPr>
        <w:t xml:space="preserve">We may fail to obtain any of these licenses at a reasonable cost or on reasonable terms, if at all. In that event, we may be unable to further develop and commercialize one or more of our product candidates, which could harm our business significantly. We cannot provide any assurances that third party patents do not exist which might be enforced against our product candidates resulting in either an injunction prohibiting our sales, or, with respect to our sales, an obligation on our part to pay royalties or other forms of compensation to third parties.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we are unable to obtain and maintain patent protection or other necessary rights for any of our current or future product candidates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obesity and metabolic disease drug development. Additionally, we intend to utilize regulatory protection afforded through rare drug designations, data exclusivity and market exclusivity as well as patent term extensions, where available. </w:t>
      </w:r>
    </w:p>
    <w:p>
      <w:pPr>
        <w:pStyle w:val="TextBody"/>
        <w:bidi w:val="0"/>
        <w:spacing w:before="240" w:after="0"/>
        <w:jc w:val="both"/>
        <w:rPr>
          <w:rFonts w:ascii="Times New Roman" w:hAnsi="Times New Roman"/>
          <w:sz w:val="20"/>
        </w:rPr>
      </w:pPr>
      <w:r>
        <w:rPr>
          <w:rFonts w:ascii="Times New Roman" w:hAnsi="Times New Roman"/>
          <w:sz w:val="20"/>
        </w:rPr>
        <w:t xml:space="preserve">The patent position of biotechnology and biopharmaceutical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required for the development, testing and regulatory review of new product candidates, patents protecting such candidates might expire before or shortly after such candidates are commercialized. </w:t>
      </w:r>
    </w:p>
    <w:p>
      <w:pPr>
        <w:pStyle w:val="TextBody"/>
        <w:bidi w:val="0"/>
        <w:spacing w:before="240" w:after="0"/>
        <w:jc w:val="both"/>
        <w:rPr>
          <w:rFonts w:ascii="Times New Roman" w:hAnsi="Times New Roman"/>
          <w:sz w:val="20"/>
        </w:rPr>
      </w:pPr>
      <w:r>
        <w:rPr>
          <w:rFonts w:ascii="Times New Roman" w:hAnsi="Times New Roman"/>
          <w:sz w:val="20"/>
        </w:rPr>
        <w:t xml:space="preserve">Moreover, our exclusive license to azelaprag may be subject to certain retained rights, which may adversely impact our competitive position. See BusinessMaterial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240" w:after="0"/>
        <w:jc w:val="both"/>
        <w:rPr>
          <w:rFonts w:ascii="Times New Roman" w:hAnsi="Times New Roman"/>
          <w:sz w:val="20"/>
        </w:rPr>
      </w:pPr>
      <w:r>
        <w:rPr>
          <w:rFonts w:ascii="Times New Roman" w:hAnsi="Times New Roman"/>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w:t>
      </w:r>
    </w:p>
    <w:p>
      <w:pPr>
        <w:pStyle w:val="TextBody"/>
        <w:bidi w:val="0"/>
        <w:spacing w:before="240" w:after="0"/>
        <w:jc w:val="both"/>
        <w:rPr>
          <w:rFonts w:ascii="Times New Roman" w:hAnsi="Times New Roman"/>
          <w:sz w:val="20"/>
        </w:rPr>
      </w:pPr>
      <w:r>
        <w:rPr>
          <w:rFonts w:ascii="Times New Roman" w:hAnsi="Times New Roman"/>
          <w:sz w:val="20"/>
        </w:rPr>
        <w:t xml:space="preserve">Even if we acquire patent protection that we expect should enable us to maintain competitive advantage, the issuance of a patent is not conclusive as to its inventorship, scope, validity or enforceability. Third parties, including former employees, consultants, collaborators and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 party submission of prior art to the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i/>
          <w:sz w:val="20"/>
        </w:rPr>
        <w:t>inter partes</w:t>
      </w:r>
      <w:r>
        <w:rPr>
          <w:rFonts w:ascii="Times New Roman" w:hAnsi="Times New Roman"/>
          <w:sz w:val="20"/>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 </w:t>
      </w:r>
    </w:p>
    <w:p>
      <w:pPr>
        <w:pStyle w:val="TextBody"/>
        <w:bidi w:val="0"/>
        <w:spacing w:before="240" w:after="0"/>
        <w:jc w:val="both"/>
        <w:rPr>
          <w:rFonts w:ascii="Times New Roman" w:hAnsi="Times New Roman"/>
          <w:sz w:val="20"/>
        </w:rPr>
      </w:pPr>
      <w:r>
        <w:rPr>
          <w:rFonts w:ascii="Times New Roman" w:hAnsi="Times New Roman"/>
          <w:sz w:val="20"/>
        </w:rPr>
        <w:t xml:space="preserve">Even if they are unchallenged, our patents and pending patent applications, if issued, may not provide us with any meaningful protection or prevent competitors from designing around our patent claims to circumvent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w:t>
      </w:r>
    </w:p>
    <w:p>
      <w:pPr>
        <w:pStyle w:val="TextBody"/>
        <w:bidi w:val="0"/>
        <w:spacing w:before="240" w:after="0"/>
        <w:jc w:val="both"/>
        <w:rPr>
          <w:rFonts w:ascii="Times New Roman" w:hAnsi="Times New Roman"/>
          <w:sz w:val="20"/>
        </w:rPr>
      </w:pPr>
      <w:r>
        <w:rPr>
          <w:rFonts w:ascii="Times New Roman" w:hAnsi="Times New Roman"/>
          <w:sz w:val="20"/>
        </w:rPr>
        <w:t xml:space="preserve">Certain regulatory exclusivities may be available, however, the scope of such regulatory exclusivities is subject to change, and may not provide us with adequate and continuing protection sufficient to exclude others from commercializing products similar to our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240" w:after="0"/>
        <w:jc w:val="both"/>
        <w:rPr>
          <w:rFonts w:ascii="Times New Roman" w:hAnsi="Times New Roman"/>
          <w:b/>
          <w:i/>
          <w:sz w:val="20"/>
        </w:rPr>
      </w:pPr>
      <w:r>
        <w:rPr>
          <w:rFonts w:ascii="Times New Roman" w:hAnsi="Times New Roman"/>
          <w:b/>
          <w:i/>
          <w:sz w:val="20"/>
        </w:rPr>
        <w:t xml:space="preserve">Disruptions at the FDA, the SEC and other government agencies or comparable regulatory authorities caused by funding shortages or global health concerns could hinder their ability to hire, retain or deploy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 ability of the FDA or other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comparable foreign regulatory authorities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 </w:t>
      </w:r>
    </w:p>
    <w:p>
      <w:pPr>
        <w:pStyle w:val="TextBody"/>
        <w:bidi w:val="0"/>
        <w:spacing w:before="240" w:after="0"/>
        <w:jc w:val="both"/>
        <w:rPr>
          <w:rFonts w:ascii="Times New Roman" w:hAnsi="Times New Roman"/>
          <w:sz w:val="20"/>
        </w:rPr>
      </w:pPr>
      <w:r>
        <w:rPr>
          <w:rFonts w:ascii="Times New Roman" w:hAnsi="Times New Roman"/>
          <w:sz w:val="20"/>
        </w:rPr>
        <w:t xml:space="preserve">Disruptions at the FDA or other regulatory authorities may also slow the time necessary for new drugs to be reviewed and/or approved, which would adversely affect our business. For example, in 2024, the U.S. government was on the verge of a shutdown and has previously shut down several times, and certain regulatory agencies, such as the FDA and the SEC, had to furlough critical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SEC regulations, policies, and decisions may become subject to increasing legal challenges, delays, and changes. </w:t>
      </w:r>
    </w:p>
    <w:p>
      <w:pPr>
        <w:pStyle w:val="TextBody"/>
        <w:bidi w:val="0"/>
        <w:spacing w:before="360" w:after="0"/>
        <w:jc w:val="both"/>
        <w:rPr>
          <w:rFonts w:ascii="Times New Roman" w:hAnsi="Times New Roman"/>
          <w:b/>
          <w:i/>
          <w:sz w:val="20"/>
        </w:rPr>
      </w:pPr>
      <w:r>
        <w:rPr>
          <w:rFonts w:ascii="Times New Roman" w:hAnsi="Times New Roman"/>
          <w:b/>
          <w:i/>
          <w:sz w:val="20"/>
        </w:rPr>
        <w:t xml:space="preserve">Existing, recently enacted and future legislation may increase the difficulty and cost for us to obtain regulatory approval of and commercialize our product candidates and decrease the prices we may obtain.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and some foreign jurisdictions, there have been a number of legislative and regulatory changes and proposed changes regarding the healthcare system that could prevent or delay regulatory approval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product candidates, restrict or regulate post-approval activities and affect our ability to profitably sell any products for which we obtain regulatory approval. </w:t>
      </w:r>
    </w:p>
    <w:p>
      <w:pPr>
        <w:pStyle w:val="TextBody"/>
        <w:bidi w:val="0"/>
        <w:spacing w:before="240" w:after="0"/>
        <w:jc w:val="both"/>
        <w:rPr>
          <w:rFonts w:ascii="Times New Roman" w:hAnsi="Times New Roman"/>
          <w:sz w:val="20"/>
        </w:rPr>
      </w:pPr>
      <w:r>
        <w:rPr>
          <w:rFonts w:ascii="Times New Roman" w:hAnsi="Times New Roman"/>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the United States, there have been and continue to be a number of legislative initiatives to contain healthcare costs, including costs of pharmaceuticals. There has been heightened governmental scrutiny over the manner in which manufacturers set prices for their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reduce the costs of drugs under Medicare and Medicaid, and reform government program reimbursement methodologies for drug products. For example, on August 2, 2011, the Budget Control Act of 2011 imposed, subject to certain temporary suspension periods, 2% reductions in Medicare payments to providers per fiscal year starting April 1, 2013 and, due to subsequent legislative amendments to the statute, will remain in effect through 2032, unless additional Congressional action is taken. In December 2020, CMS issued a final rule implementing significant manufacturer price reporting changes under the Medicaid Drug Rebate Program, including an alternative rebate calculation for line extensions that is tied to the price increases of the original drug, and Best Price reporting related to certain value-based purchasing arrangements. Under the American Rescue Plan Act of 2021, effective January 1, 2024, the statutory cap on Medicaid Drug Rebate Program rebates that manufacturers pay to state Medicaid programs is eliminated. Elimination of this cap may, in some cases, require pharmaceutical manufacturers to pay more in rebates than they receive on the sale of products. </w:t>
      </w:r>
    </w:p>
    <w:p>
      <w:pPr>
        <w:pStyle w:val="TextBody"/>
        <w:bidi w:val="0"/>
        <w:spacing w:before="240" w:after="0"/>
        <w:jc w:val="both"/>
        <w:rPr>
          <w:rFonts w:ascii="Times New Roman" w:hAnsi="Times New Roman"/>
          <w:sz w:val="20"/>
        </w:rPr>
      </w:pPr>
      <w:r>
        <w:rPr>
          <w:rFonts w:ascii="Times New Roman" w:hAnsi="Times New Roman"/>
          <w:sz w:val="20"/>
        </w:rPr>
        <w:t xml:space="preserve">Recently, several healthcare reform initiatives culminated in the enactment of the Inflation Reduction Act (the IRA) in August 2022, which, among other things, allows United States Health and Human Services (HHS) to directly negotiate the selling price of a statutorily specified number of drugs and biologics each year that CMS reimburses under Medicare Part B and Part D. Only high-expenditure single-source drugs that have been approved for at least 7 years (11 years for single-source biologics) are eligible to be selected for negotiation by CMS, with the negotiated price taking effect two years after the selection year. Negotiations for Medicare Part D products begin in 2024 with the negotiated price taking effect in 2026, and negotiations for Medicare Part B products begin in 2026 with the negotiated price taking effect in 2028. In August 2023, HHS announced the ten Medicare Part D drugs and biologics that it selected for negotiations. HHS will announce the negotiated maximum fair prices by September 1, 2024. This price cap, which cannot exceed a statutory ceiling price, will come into effect on January 1, 2026, and will represent a significant discount from average prices to wholesalers and direct purchasers. The IRA also imposes rebates on Medicare Part D and Part B drugs whose prices have increased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also extends enhanced subsidies for individuals purchasing health insurance coverage in Patient Protection and Affordable Care Act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may be subject to legal challenges. For example, the provisions related to the negotiation of selling prices of high-expenditure single-source drugs and biologics have been challenged in multiple lawsuits brought by pharmaceutical manufacturers. The outcome of these lawsuits is uncertain, and some IRA drug discount provisions have not been challenged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litigation. Thus, while it is unclear how the IRA will be implemented, it will likely have a significant impact on the pharmaceutical industry and the pricing of azelaprag or any future product candidates. </w:t>
      </w:r>
    </w:p>
    <w:p>
      <w:pPr>
        <w:pStyle w:val="TextBody"/>
        <w:bidi w:val="0"/>
        <w:spacing w:before="240" w:after="0"/>
        <w:jc w:val="both"/>
        <w:rPr>
          <w:rFonts w:ascii="Times New Roman" w:hAnsi="Times New Roman"/>
          <w:sz w:val="20"/>
        </w:rPr>
      </w:pPr>
      <w:r>
        <w:rPr>
          <w:rFonts w:ascii="Times New Roman" w:hAnsi="Times New Roman"/>
          <w:sz w:val="20"/>
        </w:rPr>
        <w:t xml:space="preserve">At the state level, legislatures are increasingly enacting laws and implementing regulations designed to control pharmaceutical and biological product pricing, including restrictions or prohibitions on certain marketing practices, reporting of specified categories of remuneration provided to health care practitioners, and reporting and justification of price increases greater than a specified level. In some cases, states have designed programs to encourage importation from other countries and bulk purchasing, though the federal government has not yet approved any such plans. We expect that additional state and federal healthcare reform measures will be adopted in the future, any of which could limit the amounts that federal and state governments will pay for pharmaceuticals and other healthcare products and services, which could result in reduced demand for azelaprag or any future product candidates or companion diagnostics or additional pricing pressures.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insurance coverage and reimbursement status of newly approved products are uncertain. Failure to obtain or maintain coverage and adequate reimbursement for new or current products could limit our ability to market those products and decrease our ability to generate revenue. </w:t>
      </w:r>
    </w:p>
    <w:p>
      <w:pPr>
        <w:pStyle w:val="TextBody"/>
        <w:bidi w:val="0"/>
        <w:spacing w:before="120" w:after="0"/>
        <w:jc w:val="both"/>
        <w:rPr>
          <w:rFonts w:ascii="Times New Roman" w:hAnsi="Times New Roman"/>
          <w:sz w:val="20"/>
        </w:rPr>
      </w:pPr>
      <w:r>
        <w:rPr>
          <w:rFonts w:ascii="Times New Roman" w:hAnsi="Times New Roman"/>
          <w:sz w:val="20"/>
        </w:rPr>
        <w:t xml:space="preserve">Sales of our product candidates, if approved, will depend,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Even if coverage is provided, the approved reimbursement amount may not be high enough to allow us to establish or maintain pricing sufficient to realize a sufficient return on our investment. Further, one payors determination to provide coverage for a drug product does not ensure that other payors will also provide coverage for the drug product. Coverage policies and third-party payor reimbursement rates may change at any time.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There is significant uncertainty related to the insurance coverage and reimbursement of newly approved products. In the United States, the principal decisions about reimbursement for new medicines are typically made by the Centers for Medicare &amp; Medicaid Services (CMS) as CMS decides whether and to what extent a new medicine will be covered and reimbursed under Medicare. Private payors often, but not always, follow CMSs decisions regarding coverage and reimbursement. Decreases in third-party payor reimbursement or a decision by a third-party payor to not cover any of our product candidates, if approved, could reduce physician usage of our product candidates, and have a material adverse effect on our sales, results of operations and financial condition. We may need to conduct expensive pharmacoeconomic studies in order to demonstrate the medical necessity and cost-effectiveness of our products, in addition to the costs required to obtain FDA approvals. Nonetheless, our product candidates may not be considered medically necessary or cost-effective.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 </w:t>
      </w:r>
    </w:p>
    <w:p>
      <w:pPr>
        <w:pStyle w:val="TextBody"/>
        <w:bidi w:val="0"/>
        <w:spacing w:before="120" w:after="0"/>
        <w:jc w:val="both"/>
        <w:rPr>
          <w:rFonts w:ascii="Times New Roman" w:hAnsi="Times New Roman"/>
          <w:sz w:val="20"/>
        </w:rPr>
      </w:pPr>
      <w:r>
        <w:rPr>
          <w:rFonts w:ascii="Times New Roman" w:hAnsi="Times New Roman"/>
          <w:sz w:val="20"/>
        </w:rPr>
        <w:t xml:space="preserve">Our current and future arrangements with healthcare providers, healthcare organizations, third-party payors and customers expose us to broadly applicable anti-bribery, fraud and abuse and other healthcare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HIPAA, as amended by HITECH, and their respective implementing regulations, which impose obligations on certain healthcare providers, health plans, and healthcare clearinghouses, known as covered entities, as well as their business associates that perform certain services involving the storage, use or disclosure of individually identifiable health information for or on behalf of a covered entity and their covered subcontractors,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Physician Payments Sunshine Act, which requires certain manufacturers of covered drugs, devices, biologics and medical supplies that are reimbursable under Medicare, Medicaid, or the Childrens Health Insurance Program, with certain exceptions, to report annually to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Foreign Corrupt Practices Act which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360" w:after="0"/>
        <w:jc w:val="both"/>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120" w:after="0"/>
        <w:jc w:val="both"/>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For example, even if the FDA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 </w:t>
      </w:r>
    </w:p>
    <w:p>
      <w:pPr>
        <w:pStyle w:val="TextBody"/>
        <w:bidi w:val="0"/>
        <w:spacing w:before="360" w:after="0"/>
        <w:jc w:val="both"/>
        <w:rPr>
          <w:rFonts w:ascii="Times New Roman" w:hAnsi="Times New Roman"/>
          <w:b/>
          <w:i/>
          <w:sz w:val="20"/>
        </w:rPr>
      </w:pPr>
      <w:r>
        <w:rPr>
          <w:rFonts w:ascii="Times New Roman" w:hAnsi="Times New Roman"/>
          <w:b/>
          <w:i/>
          <w:sz w:val="20"/>
        </w:rPr>
        <w:t xml:space="preserve">Adverse side effects or other safety risks associated with azelaprag or any future product candidates we may develop could delay or preclude approval, cause us to suspend or discontinue clinical trials or abandon further development, change the design of our clinical trials, limit the commercial profile of an approved product, or result in significant negative consequences following regulatory approval, if any. </w:t>
      </w:r>
    </w:p>
    <w:p>
      <w:pPr>
        <w:pStyle w:val="TextBody"/>
        <w:bidi w:val="0"/>
        <w:spacing w:before="120" w:after="0"/>
        <w:jc w:val="both"/>
        <w:rPr>
          <w:rFonts w:ascii="Times New Roman" w:hAnsi="Times New Roman"/>
          <w:sz w:val="20"/>
        </w:rPr>
      </w:pPr>
      <w:r>
        <w:rPr>
          <w:rFonts w:ascii="Times New Roman" w:hAnsi="Times New Roman"/>
          <w:sz w:val="20"/>
        </w:rPr>
        <w:t xml:space="preserve">As is the case with small molecules generally, it is likely that there may be adverse side effects associated with the use of azelaprag or any future product candidates. For example, we have observed certain adverse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such as mild headaches and back pain and dizziness, which were higher in our placebo patients than in our active patients, in our clinical trials of azelaprag. Our clinical trials may reveal significant adverse events not seen in our preclinical studies or prior clinical trials and may result in a safety or tolerability profile that could delay or prevent regulatory approval or market acceptance of azelaprag or any future product candidates. Undesirable or clinically unmanageable side effects observed in our clinical trials for our product candidates could occur and cause us or regulatory authorities to interrupt, delay or halt our clinical trials and could result in more restrictive labeling than anticipated or the delay or denial of regulatory approval by the FDA or other regulatory authorities. If additional adverse events, serious adverse events (SAEs) or other side effects are observed in any of our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azelaprag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azelaprag, which could result in the delay or denial of regulatory approval by the FDA or other regulatory authorities. Adverse events and SAEs that emerge during clinical investigation of or treatment with azelaprag or any future product candidates may be deemed to be related to our product candidates. 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This may require longer and more extensive clinical development, or regulatory authorities may increase the amount of data and information required to approve, market or maintain approval for azelaprag or any future product candidates and could result in warnings and precautions in our product labeling or a restrictive REMS. This may also result in an inability to obtain approval of azelaprag or any future product candidates. We, the FDA or other regulatory authorities or an IRB or ethics committee may suspend clinical trials of a product candidate at any time for various reasons, including a belief that participants in such trials are being exposed to unacceptable health risks or adverse side effects. Even if the side effects do not preclude the product candidate from obtaining or maintaining regulatory approval, undesirable side effects may inhibit market acceptance of the approved product due to its tolerability versus other therapies. Further, it is possible that, as we test our product candidates in larger, longer and more extensive clinical trials, including with different dosing regimens, or as the use of our drug candidates becomes more widespread following any regulatory approval, illnesses, injuries, discomforts and other adverse events that were observed in earlier trials, as well as conditions that did not occur or went undetected in previous trials, will be reported by patients. Any of these developments could materially harm our business, financial condition, results of operations and prospects. </w:t>
      </w:r>
    </w:p>
    <w:p>
      <w:pPr>
        <w:pStyle w:val="TextBody"/>
        <w:bidi w:val="0"/>
        <w:spacing w:before="360" w:after="0"/>
        <w:jc w:val="both"/>
        <w:rPr>
          <w:rFonts w:ascii="Times New Roman" w:hAnsi="Times New Roman"/>
          <w:b/>
          <w:i/>
          <w:sz w:val="20"/>
        </w:rPr>
      </w:pPr>
      <w:r>
        <w:rPr>
          <w:rFonts w:ascii="Times New Roman" w:hAnsi="Times New Roman"/>
          <w:b/>
          <w:i/>
          <w:sz w:val="20"/>
        </w:rPr>
        <w:t>We plan to conduct future clinical trials at sites outside the United States. The FDA may not accept data from trials conducted in such locations, and the conduct of trials outside the United States could subject us to additional delays and expense.</w:t>
      </w:r>
    </w:p>
    <w:p>
      <w:pPr>
        <w:pStyle w:val="TextBody"/>
        <w:bidi w:val="0"/>
        <w:spacing w:before="120" w:after="0"/>
        <w:jc w:val="both"/>
        <w:rPr>
          <w:rFonts w:ascii="Times New Roman" w:hAnsi="Times New Roman"/>
          <w:sz w:val="20"/>
        </w:rPr>
      </w:pPr>
      <w:r>
        <w:rPr>
          <w:rFonts w:ascii="Times New Roman" w:hAnsi="Times New Roman"/>
          <w:sz w:val="20"/>
        </w:rPr>
        <w:t xml:space="preserve">We have conducted one Phase 1 trial of azelaprag in a study of older patients in New Zealand. The acceptance by the FDA or other regulatory authorities of trial data from clinical trials conducted outside their jurisdiction may be subject to certain conditions or may not be accepted at all. </w:t>
      </w:r>
    </w:p>
    <w:p>
      <w:pPr>
        <w:pStyle w:val="TextBody"/>
        <w:bidi w:val="0"/>
        <w:spacing w:before="240" w:after="0"/>
        <w:jc w:val="both"/>
        <w:rPr>
          <w:rFonts w:ascii="Times New Roman" w:hAnsi="Times New Roman"/>
          <w:sz w:val="20"/>
        </w:rPr>
      </w:pPr>
      <w:r>
        <w:rPr>
          <w:rFonts w:ascii="Times New Roman" w:hAnsi="Times New Roman"/>
          <w:sz w:val="20"/>
        </w:rPr>
        <w:t xml:space="preserve">Where foreign clinical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bidi w:val="0"/>
        <w:spacing w:before="240" w:after="0"/>
        <w:jc w:val="both"/>
        <w:rPr>
          <w:rFonts w:ascii="Times New Roman" w:hAnsi="Times New Roman"/>
          <w:sz w:val="20"/>
        </w:rPr>
      </w:pPr>
      <w:r>
        <w:rPr>
          <w:rFonts w:ascii="Times New Roman" w:hAnsi="Times New Roman"/>
          <w:sz w:val="20"/>
        </w:rPr>
        <w:t>Conducting clinical trials outside the U.S. also exposes us to additional risks, including risks associated with:</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additional foreign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foreign manufacturing, customs, shipment and storage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cultural differences in medical practice and clinical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diminished protection of intellectual property in some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interruptions or delays in our trials resulting from geopolitical events, such as war or terrorism. </w:t>
            </w:r>
          </w:p>
        </w:tc>
      </w:tr>
    </w:tbl>
    <w:p>
      <w:pPr>
        <w:pStyle w:val="TextBody"/>
        <w:bidi w:val="0"/>
        <w:spacing w:before="360" w:after="0"/>
        <w:jc w:val="both"/>
        <w:rPr>
          <w:rFonts w:ascii="Times New Roman" w:hAnsi="Times New Roman"/>
          <w:b/>
          <w:i/>
          <w:sz w:val="20"/>
        </w:rPr>
      </w:pPr>
      <w:r>
        <w:rPr>
          <w:rFonts w:ascii="Times New Roman" w:hAnsi="Times New Roman"/>
          <w:b/>
          <w:i/>
          <w:sz w:val="20"/>
        </w:rPr>
        <w:t xml:space="preserve">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 </w:t>
      </w:r>
    </w:p>
    <w:p>
      <w:pPr>
        <w:pStyle w:val="TextBody"/>
        <w:bidi w:val="0"/>
        <w:spacing w:before="120" w:after="0"/>
        <w:jc w:val="both"/>
        <w:rPr>
          <w:rFonts w:ascii="Times New Roman" w:hAnsi="Times New Roman"/>
          <w:sz w:val="20"/>
        </w:rPr>
      </w:pPr>
      <w:r>
        <w:rPr>
          <w:rFonts w:ascii="Times New Roman" w:hAnsi="Times New Roman"/>
          <w:sz w:val="20"/>
        </w:rPr>
        <w:t xml:space="preserve">U.S. and foreign anti-corruption, anti-money laundering, export control, sanctions and other trade laws and regulations prohibit, among other things, companies and their employees, agents, CROs, CDMOs, legal counsel, accountants, consultants, contractors and other partners from authorizing, promising, offering, providing, soliciting, or receiving directly or indirectly, corrupt or improper payments or anything else of value to or from recipients in the public or private sector. Export control and sanctions laws may also prohibit or limit our ability to sell or provide our drug candidates to embargoed countries, regions, governments, persons and entities.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 </w:t>
      </w:r>
    </w:p>
    <w:p>
      <w:pPr>
        <w:pStyle w:val="TextBody"/>
        <w:bidi w:val="0"/>
        <w:spacing w:before="240" w:after="0"/>
        <w:jc w:val="both"/>
        <w:rPr>
          <w:rFonts w:ascii="Times New Roman" w:hAnsi="Times New Roman"/>
          <w:sz w:val="20"/>
        </w:rPr>
      </w:pPr>
      <w:r>
        <w:rPr>
          <w:rFonts w:ascii="Times New Roman" w:hAnsi="Times New Roman"/>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240" w:after="0"/>
        <w:jc w:val="both"/>
        <w:rPr>
          <w:rFonts w:ascii="Times New Roman" w:hAnsi="Times New Roman"/>
          <w:b/>
          <w:i/>
          <w:sz w:val="20"/>
        </w:rPr>
      </w:pPr>
      <w:r>
        <w:rPr>
          <w:rFonts w:ascii="Times New Roman" w:hAnsi="Times New Roman"/>
          <w:b/>
          <w:i/>
          <w:sz w:val="20"/>
        </w:rPr>
        <w:t xml:space="preserve">Anti-takeover provisions in our charter documents and under Delaware law could prevent or delay an acquisition of us, which may be beneficial to our stockholders, and may prevent attempts by our stockholders to replace or remove our current management. </w:t>
      </w:r>
    </w:p>
    <w:p>
      <w:pPr>
        <w:pStyle w:val="TextBody"/>
        <w:bidi w:val="0"/>
        <w:spacing w:before="120" w:after="0"/>
        <w:jc w:val="both"/>
        <w:rPr>
          <w:rFonts w:ascii="Times New Roman" w:hAnsi="Times New Roman"/>
          <w:sz w:val="20"/>
        </w:rPr>
      </w:pPr>
      <w:r>
        <w:rPr>
          <w:rFonts w:ascii="Times New Roman" w:hAnsi="Times New Roman"/>
          <w:sz w:val="20"/>
        </w:rPr>
        <w:t xml:space="preserve">Our restated certificate of incorporation and our restated bylaws that will be in effect upon completion of this offering contain provisions that could delay or prevent a change in control of our company. These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 a classified board of directors so that not all members of our board of directors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permit only the board of directors to establish the number of directors and fill vacancies on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provide that directors may only be removed for cause and only with the approval of two-thirds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 super-majority voting to amend some provisions in our restated certificate of incorporation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authorize the issuance of blank check preferred stock that our board of directors could use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eliminate the ability of our stockholders to call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prohibit stockholder action by written consent, which requires all stockholder actions to be taken at a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prohibit cumulative voting;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 advance notice requirements for nominations for election to our board of directors or for proposing matters that can be acted upon by stockholders at annual stockholder meetings.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before="120" w:after="0"/>
        <w:jc w:val="both"/>
        <w:rPr>
          <w:rFonts w:ascii="Times New Roman" w:hAnsi="Times New Roman"/>
          <w:sz w:val="20"/>
        </w:rPr>
      </w:pPr>
      <w:r>
        <w:rPr>
          <w:rFonts w:ascii="Times New Roman" w:hAnsi="Times New Roman"/>
          <w:sz w:val="20"/>
        </w:rPr>
        <w:t xml:space="preserve">Our restated certificate of incorporation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will, to the fullest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directors, officers, other employees, agents, and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240" w:after="0"/>
        <w:jc w:val="both"/>
        <w:rPr>
          <w:rFonts w:ascii="Times New Roman" w:hAnsi="Times New Roman"/>
          <w:sz w:val="20"/>
        </w:rPr>
      </w:pPr>
      <w:r>
        <w:rPr>
          <w:rFonts w:ascii="Times New Roman" w:hAnsi="Times New Roman"/>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before="360" w:after="0"/>
        <w:jc w:val="both"/>
        <w:rPr>
          <w:rFonts w:ascii="Times New Roman" w:hAnsi="Times New Roman"/>
          <w:b/>
          <w:i/>
          <w:sz w:val="20"/>
        </w:rPr>
      </w:pPr>
      <w:r>
        <w:rPr>
          <w:rFonts w:ascii="Times New Roman" w:hAnsi="Times New Roman"/>
          <w:b/>
          <w:i/>
          <w:sz w:val="20"/>
        </w:rPr>
        <w:t xml:space="preserve">The market price of our common stock is likely to be highly volatile, and you could lose all or part of your investment. </w:t>
      </w:r>
    </w:p>
    <w:p>
      <w:pPr>
        <w:pStyle w:val="TextBody"/>
        <w:bidi w:val="0"/>
        <w:spacing w:before="120" w:after="0"/>
        <w:jc w:val="both"/>
        <w:rPr>
          <w:rFonts w:ascii="Times New Roman" w:hAnsi="Times New Roman"/>
          <w:sz w:val="20"/>
        </w:rPr>
      </w:pPr>
      <w:r>
        <w:rPr>
          <w:rFonts w:ascii="Times New Roman" w:hAnsi="Times New Roman"/>
          <w:sz w:val="20"/>
        </w:rPr>
        <w:t xml:space="preserve">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Risk Factors section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results of preclinical studies and clinical trials of any product candidates, or those of our competitors or our existing or future collaborators or licensing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enrollment status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or legal developments in the United States or other countries, especially changes in laws or regulations applicable to any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or failure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introductions and announcements of new product candidates by us, any future commercialization partners, or our competitors,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actions taken by regulatory agencies with respect to any product candidates, clinical studies, and, if approved,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our efforts to acquire or in-license additional technologies or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concerning any future collaborations, including but not limited to those with development and commercialization partners if any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announcements by us or our competitors of significant acquisitions, strategic collaborations,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or disputes concerning patents or other proprietary rights, including patents, litigation matters and our ability to obtain patent protection for any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or inability to raise additional capital and the terms on which we are able to raise it,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changes in earnings estimates, development timelines or changes in stock market analyst recommendations regarding our common stock, other comparable companies or our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failure or the failure of our competitors to meet analysts projections or guidance that we or our competitors may give to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 and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fluctuations of 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of shares of our common stock by us, insiders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concentrated ownership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actions instituted by activist shareholders or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terrorist acts, acts of war or periods of widespread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natural disasters and other calamities, including global pandemics such as the COVID-19 pandemic;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industry and market conditions, including rising interest rates and inflation.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do not currently intend to pay dividends on our common stock and, consequently, our stockholders ability to achieve a return on their investment will be dependent on appreciation of the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to support operations and to finance the growth and development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business. We do not intend to declare or pay any cash dividends on our capital stock in the foreseeable future.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 </w:t>
      </w:r>
    </w:p>
    <w:p>
      <w:pPr>
        <w:pStyle w:val="TextBody"/>
        <w:bidi w:val="0"/>
        <w:spacing w:before="360" w:after="0"/>
        <w:jc w:val="both"/>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before="120" w:after="0"/>
        <w:jc w:val="both"/>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us or our business. We do not have any control over the industry or securities analysts, or the content and opinions included in their reports.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360" w:after="0"/>
        <w:jc w:val="both"/>
        <w:rPr>
          <w:rFonts w:ascii="Times New Roman" w:hAnsi="Times New Roman"/>
          <w:b/>
          <w:i/>
          <w:sz w:val="20"/>
        </w:rPr>
      </w:pPr>
      <w:r>
        <w:rPr>
          <w:rFonts w:ascii="Times New Roman" w:hAnsi="Times New Roman"/>
          <w:b/>
          <w:i/>
          <w:sz w:val="20"/>
        </w:rPr>
        <w:t xml:space="preserve">A sale of a substantial number of shares of our common stock may cause the price of our common stock to decline. </w:t>
      </w:r>
    </w:p>
    <w:p>
      <w:pPr>
        <w:pStyle w:val="TextBody"/>
        <w:bidi w:val="0"/>
        <w:spacing w:before="120" w:after="0"/>
        <w:jc w:val="both"/>
        <w:rPr>
          <w:rFonts w:ascii="Times New Roman" w:hAnsi="Times New Roman"/>
          <w:sz w:val="20"/>
        </w:rPr>
      </w:pPr>
      <w:r>
        <w:rPr>
          <w:rFonts w:ascii="Times New Roman" w:hAnsi="Times New Roman"/>
          <w:sz w:val="20"/>
        </w:rPr>
        <w:t xml:space="preserve">Based on 22,578,296 shares of our capital stock outstanding as of June 30, 2024, upon completion of this offering and the concurrent private placement, we will have a total of 34,167,184 shares of common stock outstanding. Of these shares, only the 11,000,000 shares of common stock sold in this offering, or 12,650,000 shares if the underwriters exercise their option to purchase additional shares in full, will be freely tradable, without restriction, in the public market immediately after this offering. Each of our officers, directors and substantially all of our stockholders have entered into lock-up agreements with the underwriters that, among other things and subject to certain exceptions, restrict their ability to sell or transfer their shares. The lock-up agreements pertaining to this offering will expire 180 days from the date of this prospectus. However, Goldman Sachs &amp; Co. LLC, Morgan Stanley &amp; Co. LLC and Jefferies LLC may, in their sole discretion, permit our officers, directors and other stockholders who are subject to the lock-up agreements to sell shares prior to the expiration of the lock-up agreements. After the lock-up agreements expire, based on 22,578,296 shares outstanding as of June 30, 2024, approximately up to an additional 22,578,296 shares of common stock will be eligible for sale in the public market approximately 6,362,489 of which shares are held by our officers, directors and their affiliated entities, and will be subject to volume limitations under Rule 144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After this offering and the concurrent private placement, the holders of an aggregate of 20,854,632 shares of our outstanding common stock as of June 30, 2024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 titled Underwriting. See the section titled Description of Capital StockRegistration Rights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will have broad discretion in the use of the net proceeds from this offering and the concurrent private placement and may not use them effectively.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and the concurrent private placement, including for any of the purposes described in the section titled Use of Proceeds,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and the concurrent private placement in ways that enhance stockholder value, we may fail to achieve expected financial results, which could cause our stock price to decline. Pending their use, we may invest the net proceeds from this offering and the concurrent private placement in a manner that does not produce income or that loses value. </w:t>
      </w:r>
    </w:p>
    <w:p>
      <w:pPr>
        <w:pStyle w:val="TextBody"/>
        <w:bidi w:val="0"/>
        <w:spacing w:before="360" w:after="0"/>
        <w:jc w:val="both"/>
        <w:rPr>
          <w:rFonts w:ascii="Times New Roman" w:hAnsi="Times New Roman"/>
          <w:b/>
          <w:i/>
          <w:sz w:val="20"/>
        </w:rPr>
      </w:pPr>
      <w:r>
        <w:rPr>
          <w:rFonts w:ascii="Times New Roman" w:hAnsi="Times New Roman"/>
          <w:b/>
          <w:i/>
          <w:sz w:val="20"/>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no market for our common stock existed and an active trading market for our common stock may never develop or be sustained following this offering. The initial public offering price for our common stock was determined through negotiations with the underwriters and the negotiated price may not be indicative of the market price of our common stock after this offering. This price will not necessarily reflect the price at which investors in the market will be willing to buy and sell our shares following this offering, and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of common stock at the time you wish to sell them or at a price that you consider reasonable. The lack of an active market may also reduce the fair market value of your shares of common stock. To the extent certain of our existing stockholders and their affiliated entities participate in this offering and the concurrent private placement, such purchases would reduce the nonaffiliated public float of our shares, meaning the number of shares of our common stock that are not held by officers, directors and controlling stockholders. As a result, the number of freely tradeable shares of our common stock following this offering and the concurrent private placement will be reduced to what it would have been had these shares been sold to investors that were not existing stockholders, affiliates or purchasers in the concurrent private placement.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You will experience immediate and substantial dilution as a result of this offering and the concurrent private placement and raising additional capital in the future may cause dilution to our stockholders, including purchasers of common stock in this offering, restrict our operations or require us to relinquish rights to our technologies or product candidates. </w:t>
      </w:r>
    </w:p>
    <w:p>
      <w:pPr>
        <w:pStyle w:val="TextBody"/>
        <w:bidi w:val="0"/>
        <w:spacing w:before="120" w:after="0"/>
        <w:jc w:val="both"/>
        <w:rPr>
          <w:rFonts w:ascii="Times New Roman" w:hAnsi="Times New Roman"/>
          <w:sz w:val="20"/>
        </w:rPr>
      </w:pPr>
      <w:r>
        <w:rPr>
          <w:rFonts w:ascii="Times New Roman" w:hAnsi="Times New Roman"/>
          <w:sz w:val="20"/>
        </w:rPr>
        <w:t xml:space="preserve">The initial public offering price of $18.00 per share is substantially higher than the pro forma as adjusted net tangible book value per share of our outstanding common stock immediately following the completion of this offering and the concurrent private placement. If you purchase common stock in this offering at the initial public offering price of $18.00 per share, and assuming that the underwriters do not exercise their option to purchase additional common stock in this offering, you will incur immediate and substantial dilution of $8.20 per share, representing the difference between the initial public offering price of $18.00 per share and our pro forma net tangible book value per share as of June 30, 2024 after giving effect to this offering and the conversion of all outstanding redeemable convertible preferred stock upon the completion of this offering and the concurrent private placement. Following the completion of this offering, investors purchasing common stock in this offering and concurrent private placement will have contributed 39.4% of the total amount invested by stockholders since inception, but will only own 33.9% of the shares of common stock outstanding. For a further description of the dilution you will experience immediately after this offering, see the section titled Dilution.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both"/>
        <w:rPr>
          <w:rFonts w:ascii="Times New Roman" w:hAnsi="Times New Roman"/>
          <w:b/>
          <w:i/>
          <w:sz w:val="20"/>
        </w:rPr>
      </w:pPr>
      <w:r>
        <w:rPr>
          <w:rFonts w:ascii="Times New Roman" w:hAnsi="Times New Roman"/>
          <w:b/>
          <w:i/>
          <w:sz w:val="20"/>
        </w:rPr>
        <w:t xml:space="preserve">Our current in-person operations are located in Richmond,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0"/>
        <w:jc w:val="both"/>
        <w:rPr>
          <w:rFonts w:ascii="Times New Roman" w:hAnsi="Times New Roman"/>
          <w:sz w:val="20"/>
        </w:rPr>
      </w:pPr>
      <w:r>
        <w:rPr>
          <w:rFonts w:ascii="Times New Roman" w:hAnsi="Times New Roman"/>
          <w:sz w:val="20"/>
        </w:rPr>
        <w:t xml:space="preserve">While we are currently a remote-based company with a majority of our employees working remotely, our current in-person operations are located in our research facility in Richmond, California. Any unplanned event, such as flood, fire, explosion, earthquake, extreme weather condition, pandemic, medical epidemic, power shortage, telecommunication failure or other natural or manmade accidents or incidents that result in us being unable to fully utilize our facilities, or the manufacturing facilities of our CDMOs may have a material and adverse effect on our ability to operate our business and have significant negative consequences on our financial and operating conditions. If our facilities, or the manufacturing facilities of our CDMOs, are unable to operate because of an accident or incident or for any other reason, including an inability to use all or a significant portion of our headquarters, damages to critical infrastructure, such as our research facilities or the manufacturing facilities of our CDMOs, or other disruptions to operations,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240" w:after="0"/>
        <w:jc w:val="both"/>
        <w:rPr>
          <w:rFonts w:ascii="Times New Roman" w:hAnsi="Times New Roman"/>
          <w:sz w:val="20"/>
        </w:rPr>
      </w:pPr>
      <w:r>
        <w:rPr>
          <w:rFonts w:ascii="Times New Roman" w:hAnsi="Times New Roman"/>
          <w:sz w:val="20"/>
        </w:rPr>
        <w:t xml:space="preserve">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its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Russias ongoing incursion of Ukraine has created extreme volatility in the global capital markets and is expected to have further global economic consequences, including disruptions of the global supply chain and energy markets; it is possible that the ensuing Israel-Hamas conflict may have similar effects. In 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We previously kept substantially all of our cash and investments with SVB, the substantial majority of which was held in a custodial account with another institution, for which SVB Asset Management was the advisor. While we were afforded full access to our cash and investments with SVB, we may be impacted by other disruptions to the U.S. banking system, including potential delays in our ability to transfer funds whether held with SVB or otherwise.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immediately liquidity may still occur in the future. We regularly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 </w:t>
      </w:r>
    </w:p>
    <w:p>
      <w:pPr>
        <w:pStyle w:val="TextBody"/>
        <w:bidi w:val="0"/>
        <w:spacing w:before="240" w:after="0"/>
        <w:jc w:val="both"/>
        <w:rPr>
          <w:rFonts w:ascii="Times New Roman" w:hAnsi="Times New Roman"/>
          <w:sz w:val="20"/>
        </w:rPr>
      </w:pPr>
      <w:r>
        <w:rPr>
          <w:rFonts w:ascii="Times New Roman" w:hAnsi="Times New Roman"/>
          <w:sz w:val="20"/>
        </w:rPr>
        <w:t xml:space="preserve">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 </w:t>
      </w:r>
    </w:p>
    <w:p>
      <w:pPr>
        <w:pStyle w:val="TextBody"/>
        <w:bidi w:val="0"/>
        <w:spacing w:before="240" w:after="0"/>
        <w:jc w:val="both"/>
        <w:rPr>
          <w:rFonts w:ascii="Times New Roman" w:hAnsi="Times New Roman"/>
          <w:sz w:val="20"/>
        </w:rPr>
      </w:pPr>
      <w:r>
        <w:rPr>
          <w:rFonts w:ascii="Times New Roman" w:hAnsi="Times New Roman"/>
          <w:sz w:val="20"/>
        </w:rPr>
        <w:t xml:space="preserve">In addition, if any of our suppliers or other parties with whom we conduct business are unable to access funds pursuant to such instruments or lending arrangements with any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t>
      </w:r>
    </w:p>
    <w:p>
      <w:pPr>
        <w:pStyle w:val="TextBody"/>
        <w:bidi w:val="0"/>
        <w:spacing w:before="360" w:after="0"/>
        <w:jc w:val="both"/>
        <w:rPr>
          <w:rFonts w:ascii="Times New Roman" w:hAnsi="Times New Roman"/>
          <w:b/>
          <w:i/>
          <w:sz w:val="20"/>
        </w:rPr>
      </w:pPr>
      <w:r>
        <w:rPr>
          <w:rFonts w:ascii="Times New Roman" w:hAnsi="Times New Roman"/>
          <w:b/>
          <w:i/>
          <w:sz w:val="20"/>
        </w:rPr>
        <w:t xml:space="preserve">We will incur significant increased costs as a result of operating as a public company, and our management will be required to devote substantial time to new compliance initiatives and corporate governance practices. </w:t>
      </w:r>
    </w:p>
    <w:p>
      <w:pPr>
        <w:pStyle w:val="TextBody"/>
        <w:bidi w:val="0"/>
        <w:spacing w:before="120" w:after="0"/>
        <w:jc w:val="both"/>
        <w:rPr>
          <w:rFonts w:ascii="Times New Roman" w:hAnsi="Times New Roman"/>
          <w:sz w:val="20"/>
        </w:rPr>
      </w:pPr>
      <w:r>
        <w:rPr>
          <w:rFonts w:ascii="Times New Roman" w:hAnsi="Times New Roman"/>
          <w:sz w:val="20"/>
        </w:rPr>
        <w:t xml:space="preserve">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 </w:t>
      </w:r>
    </w:p>
    <w:p>
      <w:pPr>
        <w:pStyle w:val="TextBody"/>
        <w:bidi w:val="0"/>
        <w:spacing w:before="240" w:after="0"/>
        <w:jc w:val="both"/>
        <w:rPr>
          <w:rFonts w:ascii="Times New Roman" w:hAnsi="Times New Roman"/>
          <w:sz w:val="20"/>
        </w:rPr>
      </w:pPr>
      <w:r>
        <w:rPr>
          <w:rFonts w:ascii="Times New Roman" w:hAnsi="Times New Roman"/>
          <w:sz w:val="20"/>
        </w:rPr>
        <w:t xml:space="preserve">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securities litigation, which is expensive and could divert management attention. </w:t>
      </w:r>
    </w:p>
    <w:p>
      <w:pPr>
        <w:pStyle w:val="TextBody"/>
        <w:bidi w:val="0"/>
        <w:spacing w:before="120" w:after="0"/>
        <w:jc w:val="both"/>
        <w:rPr>
          <w:rFonts w:ascii="Times New Roman" w:hAnsi="Times New Roman"/>
          <w:sz w:val="20"/>
        </w:rPr>
      </w:pPr>
      <w:r>
        <w:rPr>
          <w:rFonts w:ascii="Times New Roman" w:hAnsi="Times New Roman"/>
          <w:sz w:val="20"/>
        </w:rPr>
        <w:t xml:space="preserve">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divert our managements attention and resources from other business concerns and damage our reputation, which could seriously harm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835745_3"/>
      <w:bookmarkEnd w:id="5"/>
      <w:r>
        <w:rPr>
          <w:rFonts w:ascii="Times New Roman" w:hAnsi="Times New Roman"/>
          <w:b/>
          <w:sz w:val="20"/>
        </w:rPr>
        <w:t xml:space="preserve">SPECIAL NOTE REGARDING FORWARD 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forward-looking statements. In some cases, you can identify forward- looking statements by terms such as believe, may, will, should, potentially, estimate, continue, anticipate, intend, target, could, would, project, plan, expect and similar expressions that convey uncertainty of future events or outcomes, although not all forward-looking statements contain these words. These forward-looking statements are subject to a number of risks, uncertainties and assumptions, including those described in the section titled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plans to develop and commercialize our lead product candidate, azelaprag, if approved, for the treatment of obesity and our NLRP3 inhibitor, if approved, for the treatment of neuroinflammation;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timing, progress, results and costs of our preclinical studies and clinical trials for azelaprag, or any future preclinical studies and clinical trials of future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current and future agreements with third parties in connection with our ongoing STRIDES clinical trial and any future clinical trials for azelaprag in combination with GLP-1R agonists;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the quantity of tirzepatide, semaglutide or other GLP-1R agonists required to meet the clinical needs for our ongoing and planned Phase 2 clinical trials and any future clinical trials for azelaprag in combination with those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and our ability to obtain and maintain regulatory approvals for azelaprag, and any future product candidates the timing of and our ability to obtain and maintain regulatory approvals for azelaprag,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expenses, future revenue, capital requirements and our ability to obtain funding for our operations, including funding necessary to complete further clinical development and commercialization of azelaprag and further discovery, development and commercialization of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estimates of the addressable market for our current and any future product candidates, and market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demand for, and market acceptance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market or commercialize any product candidates we may develop and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maintain, protect and enforce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expand our pipeline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effects of extensive government regulations relating to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operate our business without infringing, misappropriating or otherwise violating the intellectual property rights and proprietary technology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attract and retain key management and technical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any future collaboration and current or future licensing arrangements with third parties, including our ability to reach development milestones under such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natural disasters, terrorist activity, pandemics and other events beyond our control on any of the above or any other aspect of our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global macroeconomic, industry and market conditions in either domestic or international markets, as well as economic conditions specifically affecting industries in which we operate, including but not limited to, actual or perceived instability in the banking industry, potential uncertainty with respect to the U.S. federal debt ceiling and budget and potential government shutdowns related thereto, labor shortages, supply chain disruptions, potential recession, inflation and changing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natural or man-made global events on our business, including political instability and miliary hostilities in multiple geographies, such as the conflicts in Ukraine, the Middle East and tensions between China and Taiwan;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sales of our stock by us, our insiders or our stockholders, as well as the anticipation of lock-up releases or 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estimates regarding expenses, future revenue, capital requirements and needs for additional 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expected use of the net proceeds from this offering and the concurrent private placement and our existing cash and cash equivalents.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caution you that the foregoing list may not contain all of the forward-looking statements made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made in this prospectus relate only to events or information as of the date on which the statements are made in this prospectus. You should not rely upon forward- 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 The Private Securities Litigation Reform Act of 1995 and Section 27A of the Securities Act do not protect any forward-looking statements that we make in connection with this offering. </w:t>
      </w:r>
    </w:p>
    <w:p>
      <w:pPr>
        <w:pStyle w:val="TextBody"/>
        <w:bidi w:val="0"/>
        <w:spacing w:before="240" w:after="0"/>
        <w:jc w:val="both"/>
        <w:rPr>
          <w:rFonts w:ascii="Times New Roman" w:hAnsi="Times New Roman"/>
          <w:sz w:val="20"/>
        </w:rPr>
      </w:pPr>
      <w:r>
        <w:rPr>
          <w:rFonts w:ascii="Times New Roman" w:hAnsi="Times New Roman"/>
          <w:sz w:val="20"/>
        </w:rPr>
        <w:t xml:space="preserve">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the forward-looking statements in this prospectus by these cautionary statements.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35745_4"/>
      <w:bookmarkEnd w:id="6"/>
      <w:r>
        <w:rPr>
          <w:rFonts w:ascii="Times New Roman" w:hAnsi="Times New Roman"/>
          <w:b/>
          <w:sz w:val="20"/>
        </w:rPr>
        <w:t xml:space="preserve">MARKET AND INDUSTRY DATA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estimates and other statistical data made by independent parties and by us relating to our industry and the markets in which we operate, including our general expectations and market position, market opportunity, the incidence of certain medical conditions and other industry data. In some cases, we do not expressly refer to the sources from which these data are derived. </w:t>
      </w:r>
    </w:p>
    <w:p>
      <w:pPr>
        <w:pStyle w:val="TextBody"/>
        <w:bidi w:val="0"/>
        <w:spacing w:before="240" w:after="0"/>
        <w:jc w:val="both"/>
        <w:rPr>
          <w:rFonts w:ascii="Times New Roman" w:hAnsi="Times New Roman"/>
          <w:sz w:val="20"/>
        </w:rPr>
      </w:pPr>
      <w:r>
        <w:rPr>
          <w:rFonts w:ascii="Times New Roman" w:hAnsi="Times New Roman"/>
          <w:sz w:val="20"/>
        </w:rPr>
        <w:t xml:space="preserve">These data, to the extent they contain estimates or projections, involve a number of assumptions and limitations. Industry publications and other reports we have obtained from independent parties may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sections titled Risk Factors and Special Note Regarding Forward-Looking Statements. These and other factors could cause results to differ materially from those expressed in these publications and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35745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from this offering will be approximately $179.1 million, or approximately $206.8 million if the underwriters exercise their option to purchase additional shares of our common stock in full, based upon the initial public offering price of $18.00 per share, after deducting the underwriting discounts and commissions and estimated offering expenses payable by us. We also expect to receive net proceeds of approximately $9.9 million from the sale of shares of our common stock to Sofinnova Venture Partners XI, L.P. in the concurrent private placement, based on the initial public offering price of $18.00 per share, after deducting placement agent fees and estimated private placement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purposes of this offering are to increase our financial flexibility, to obtain additional capital to support our operations, to create a public market for our common stock and to facilitate our access to the public equity markets. We currently intend to use the net proceeds from this offering and the concurrent private placement, together with our existing cash and cash equivalents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approximately $140 million to advance the continued development of azelaprag for the treatment of obesity in our STRIDES clinical trial in combination with tirzepatide, a Phase 2 clinical trial in combination with semaglutide, and the manufacture of drug products to support Phase 3 azelaprag trials sufficient for registration;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approximately $15 million to initiate an insulin sensitivity proof-of-concept trial of azelaprag monotherapy to support potential indication expansion;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approximately $20 million to advance the clinical development of an NLRP3 inhibitor for the treatment of neuroinflammation through the submission of an IND followed by the initiation of a Phase 1 clinical trial;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other research and development activities and potential expansion of our pipeline, as well as for working capital and other general corporate purposes.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our current operating plan, we believe that our existing cash and cash equivalents, together with the net proceeds from this offering, will be sufficient for us to fund our operations into 2029. We have based this estimate on assumptions that may prove to be wrong, and we could use our available capital resources sooner than we expect. Because of the numerous risks and uncertainties associated with research, development and commercialization of pharmaceutical drugs, we are unable to estimate the exact amount of our working capital requirements. </w:t>
      </w:r>
    </w:p>
    <w:p>
      <w:pPr>
        <w:pStyle w:val="TextBody"/>
        <w:bidi w:val="0"/>
        <w:spacing w:before="240" w:after="0"/>
        <w:jc w:val="both"/>
        <w:rPr>
          <w:rFonts w:ascii="Times New Roman" w:hAnsi="Times New Roman"/>
          <w:sz w:val="20"/>
        </w:rPr>
      </w:pPr>
      <w:r>
        <w:rPr>
          <w:rFonts w:ascii="Times New Roman" w:hAnsi="Times New Roman"/>
          <w:sz w:val="20"/>
        </w:rPr>
        <w:t xml:space="preserve">The expected use of our existing cash and cash equivalents and the net proceeds from this offering and the concurrent private placement represents our intentions based upon our current plans and business conditions, which could change in the future as our plans and business conditions evolve. The amounts we actually expend in these areas, and the timing thereof, may vary significantly from our current intentions and will depend on a number of factors, including the progress of our current and planned clinical trials, regulatory feedback, the success of research and development efforts, the results and timing of any future preclinical studies and clinical trials, any new collaborations or licenses we may enter into, cash generated from future operations and actual expenses to operate our business, and other factors described in the section titled Risk Factors. We may also use a portion of the net proceeds of this offering and the concurrent private placement to in-license, acquire or invest in complementary businesses, products or technologies, or to obtain the right to use such complementary technologies. We have no commitments with respect to any acquisition or investment, and we are not currently involved in any negotiations with respect to any such transaction. </w:t>
      </w:r>
    </w:p>
    <w:p>
      <w:pPr>
        <w:pStyle w:val="TextBody"/>
        <w:bidi w:val="0"/>
        <w:spacing w:before="240" w:after="0"/>
        <w:jc w:val="both"/>
        <w:rPr>
          <w:rFonts w:ascii="Times New Roman" w:hAnsi="Times New Roman"/>
          <w:sz w:val="20"/>
        </w:rPr>
      </w:pPr>
      <w:r>
        <w:rPr>
          <w:rFonts w:ascii="Times New Roman" w:hAnsi="Times New Roman"/>
          <w:sz w:val="20"/>
        </w:rPr>
        <w:t xml:space="preserve">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 and the concurrent private placement. </w:t>
      </w:r>
    </w:p>
    <w:p>
      <w:pPr>
        <w:pStyle w:val="TextBody"/>
        <w:bidi w:val="0"/>
        <w:spacing w:before="240" w:after="0"/>
        <w:jc w:val="both"/>
        <w:rPr>
          <w:rFonts w:ascii="Times New Roman" w:hAnsi="Times New Roman"/>
          <w:sz w:val="20"/>
        </w:rPr>
      </w:pPr>
      <w:r>
        <w:rPr>
          <w:rFonts w:ascii="Times New Roman" w:hAnsi="Times New Roman"/>
          <w:sz w:val="20"/>
        </w:rPr>
        <w:t xml:space="preserve">The expected net proceeds of this offering, together with our existing cash and cash equivalents, will not be sufficient for us to fund azelaprag, our NLRP3 inhibitor or any other future product candidates, if any,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regulatory approval, and we will need to raise substantial additional capital to complete the development and potential commercialization of our product candidates, if approved. </w:t>
      </w:r>
    </w:p>
    <w:p>
      <w:pPr>
        <w:pStyle w:val="TextBody"/>
        <w:bidi w:val="0"/>
        <w:spacing w:before="240" w:after="0"/>
        <w:jc w:val="both"/>
        <w:rPr>
          <w:rFonts w:ascii="Times New Roman" w:hAnsi="Times New Roman"/>
          <w:sz w:val="20"/>
        </w:rPr>
      </w:pPr>
      <w:r>
        <w:rPr>
          <w:rFonts w:ascii="Times New Roman" w:hAnsi="Times New Roman"/>
          <w:sz w:val="20"/>
        </w:rPr>
        <w:t xml:space="preserve">Pending the uses described above, we intend to invest the net proceeds from this offering and the concurrent private placement in short-term, investment-grade interest-bearing securities such as money market accounts, certificates of deposit, commercial paper and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35745_6"/>
      <w:bookmarkEnd w:id="8"/>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We have never declared or paid any cash dividends on our common stock. We currently intend to retain all available funds and any future earnings, if any,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ability to pay cash dividends on our capital stock in the future may also be limited by any restrictions contained in any future financing instruments or by the terms of any preferred securities we may issue or agreements governing any indebtedness we may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35745_7"/>
      <w:bookmarkEnd w:id="9"/>
      <w:r>
        <w:rPr>
          <w:rFonts w:ascii="Times New Roman" w:hAnsi="Times New Roman"/>
          <w:b/>
          <w:sz w:val="20"/>
        </w:rPr>
        <w:t xml:space="preserve">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cash and cash equivalents and capitalization as of June 30,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basis, giving effect to (i) the automatic conversion of all outstanding shares of our redeemable convertible preferred stock as of June 30, 2024 into an aggregate of 20,854,632 shares of our common stock and the related reclassification of the carrying value of the redeemable convertible preferred stock to permanent equity in connection with the completion of this offering and (ii) the filing and effectiveness of our restated certificate of incorporation in connection with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as adjusted basis giving effect to (i) the pro forma adjustments described above, (ii) the issuance and sale of 11,000,000 shares of our common stock in this offering based upon the initial public offering price of $18.00 per share, after deducting the underwriting discounts and commissions and estimated offering expenses payable by us and (iii) the sale of 588,888 shares of common stock in a concurrent private placement at the initial public offering price of $18.00 per share, after deducting placement agent fees and estimated private placement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You should read this table together with the section titled Managements Discussion and Analysis of Financial Condition and Results of Operations and our consolidated financial statements and the related notes, each included elsewhere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28"/>
        <w:gridCol w:w="240"/>
        <w:gridCol w:w="177"/>
        <w:gridCol w:w="1117"/>
        <w:gridCol w:w="196"/>
        <w:gridCol w:w="253"/>
        <w:gridCol w:w="199"/>
        <w:gridCol w:w="1285"/>
        <w:gridCol w:w="196"/>
        <w:gridCol w:w="253"/>
        <w:gridCol w:w="262"/>
        <w:gridCol w:w="1639"/>
        <w:gridCol w:w="160"/>
      </w:tblGrid>
      <w:tr>
        <w:trPr/>
        <w:tc>
          <w:tcPr>
            <w:tcW w:w="4228"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57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2024</w:t>
            </w:r>
          </w:p>
        </w:tc>
        <w:tc>
          <w:tcPr>
            <w:tcW w:w="160" w:type="dxa"/>
            <w:tcBorders/>
            <w:vAlign w:val="bottom"/>
          </w:tcPr>
          <w:p>
            <w:pPr>
              <w:pStyle w:val="TableContents"/>
              <w:bidi w:val="0"/>
              <w:spacing w:before="0" w:after="283"/>
              <w:jc w:val="left"/>
              <w:rPr/>
            </w:pPr>
            <w:r>
              <w:rPr/>
              <w:t> </w:t>
            </w:r>
          </w:p>
        </w:tc>
      </w:tr>
      <w:tr>
        <w:trPr/>
        <w:tc>
          <w:tcPr>
            <w:tcW w:w="422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w:t>
            </w:r>
          </w:p>
        </w:tc>
        <w:tc>
          <w:tcPr>
            <w:tcW w:w="160" w:type="dxa"/>
            <w:tcBorders/>
            <w:vAlign w:val="bottom"/>
          </w:tcPr>
          <w:p>
            <w:pPr>
              <w:pStyle w:val="TableContents"/>
              <w:bidi w:val="0"/>
              <w:spacing w:before="0" w:after="283"/>
              <w:jc w:val="left"/>
              <w:rPr/>
            </w:pPr>
            <w:r>
              <w:rPr/>
              <w:t> </w:t>
            </w:r>
          </w:p>
        </w:tc>
      </w:tr>
      <w:tr>
        <w:trPr/>
        <w:tc>
          <w:tcPr>
            <w:tcW w:w="422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577" w:type="dxa"/>
            <w:gridSpan w:val="10"/>
            <w:tcBorders/>
            <w:vAlign w:val="bottom"/>
          </w:tcPr>
          <w:p>
            <w:pPr>
              <w:pStyle w:val="TableContents"/>
              <w:bidi w:val="0"/>
              <w:spacing w:before="0" w:after="283"/>
              <w:jc w:val="center"/>
              <w:rPr/>
            </w:pPr>
            <w:r>
              <w:rPr/>
              <w:t> </w:t>
            </w:r>
            <w:r>
              <w:rPr>
                <w:b/>
              </w:rPr>
              <w:t>(unaudited)</w:t>
            </w:r>
          </w:p>
        </w:tc>
        <w:tc>
          <w:tcPr>
            <w:tcW w:w="160" w:type="dxa"/>
            <w:tcBorders/>
            <w:vAlign w:val="bottom"/>
          </w:tcPr>
          <w:p>
            <w:pPr>
              <w:pStyle w:val="TableContents"/>
              <w:bidi w:val="0"/>
              <w:spacing w:before="0" w:after="283"/>
              <w:jc w:val="left"/>
              <w:rPr/>
            </w:pPr>
            <w:r>
              <w:rPr/>
              <w:t> </w:t>
            </w:r>
          </w:p>
        </w:tc>
      </w:tr>
      <w:tr>
        <w:trPr/>
        <w:tc>
          <w:tcPr>
            <w:tcW w:w="422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577" w:type="dxa"/>
            <w:gridSpan w:val="10"/>
            <w:tcBorders/>
            <w:vAlign w:val="bottom"/>
          </w:tcPr>
          <w:p>
            <w:pPr>
              <w:pStyle w:val="TableContents"/>
              <w:bidi w:val="0"/>
              <w:spacing w:before="0" w:after="283"/>
              <w:jc w:val="center"/>
              <w:rPr>
                <w:b/>
              </w:rPr>
            </w:pPr>
            <w:r>
              <w:rPr>
                <w:b/>
              </w:rPr>
              <w:t>(in thousands, except share and per share amounts)</w:t>
            </w:r>
          </w:p>
        </w:tc>
        <w:tc>
          <w:tcPr>
            <w:tcW w:w="160" w:type="dxa"/>
            <w:tcBorders/>
            <w:vAlign w:val="bottom"/>
          </w:tcPr>
          <w:p>
            <w:pPr>
              <w:pStyle w:val="TableContents"/>
              <w:bidi w:val="0"/>
              <w:spacing w:before="0" w:after="283"/>
              <w:jc w:val="left"/>
              <w:rPr/>
            </w:pPr>
            <w:r>
              <w:rPr/>
              <w:t> </w:t>
            </w:r>
          </w:p>
        </w:tc>
      </w:tr>
      <w:tr>
        <w:trPr/>
        <w:tc>
          <w:tcPr>
            <w:tcW w:w="4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4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159,085</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159,085</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639" w:type="dxa"/>
            <w:tcBorders/>
            <w:shd w:fill="CCEEFF" w:val="clear"/>
            <w:vAlign w:val="bottom"/>
          </w:tcPr>
          <w:p>
            <w:pPr>
              <w:pStyle w:val="TableContents"/>
              <w:bidi w:val="0"/>
              <w:spacing w:before="0" w:after="283"/>
              <w:jc w:val="right"/>
              <w:rPr/>
            </w:pPr>
            <w:r>
              <w:rPr/>
              <w:t>348,995</w:t>
            </w:r>
          </w:p>
        </w:tc>
        <w:tc>
          <w:tcPr>
            <w:tcW w:w="160" w:type="dxa"/>
            <w:tcBorders/>
            <w:shd w:fill="CCEEFF" w:val="clear"/>
            <w:vAlign w:val="bottom"/>
          </w:tcPr>
          <w:p>
            <w:pPr>
              <w:pStyle w:val="TableContents"/>
              <w:bidi w:val="0"/>
              <w:spacing w:before="0" w:after="283"/>
              <w:jc w:val="left"/>
              <w:rPr/>
            </w:pPr>
            <w:r>
              <w:rPr/>
              <w:t> </w:t>
            </w:r>
          </w:p>
        </w:tc>
      </w:tr>
      <w:tr>
        <w:trPr/>
        <w:tc>
          <w:tcPr>
            <w:tcW w:w="4228"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63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28" w:type="dxa"/>
            <w:tcBorders/>
          </w:tcPr>
          <w:p>
            <w:pPr>
              <w:pStyle w:val="TableContents"/>
              <w:bidi w:val="0"/>
              <w:spacing w:before="0" w:after="20"/>
              <w:jc w:val="left"/>
              <w:rPr>
                <w:rFonts w:ascii="Times New Roman" w:hAnsi="Times New Roman"/>
                <w:sz w:val="20"/>
              </w:rPr>
            </w:pPr>
            <w:r>
              <w:rPr>
                <w:rFonts w:ascii="Times New Roman" w:hAnsi="Times New Roman"/>
                <w:sz w:val="20"/>
              </w:rPr>
              <w:t>Term loan, net of current portion</w:t>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5,371</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5,371</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5,371</w:t>
            </w:r>
          </w:p>
        </w:tc>
        <w:tc>
          <w:tcPr>
            <w:tcW w:w="160" w:type="dxa"/>
            <w:tcBorders/>
            <w:vAlign w:val="bottom"/>
          </w:tcPr>
          <w:p>
            <w:pPr>
              <w:pStyle w:val="TableContents"/>
              <w:bidi w:val="0"/>
              <w:spacing w:before="0" w:after="283"/>
              <w:jc w:val="left"/>
              <w:rPr/>
            </w:pPr>
            <w:r>
              <w:rPr/>
              <w:t> </w:t>
            </w:r>
          </w:p>
        </w:tc>
      </w:tr>
      <w:tr>
        <w:trPr/>
        <w:tc>
          <w:tcPr>
            <w:tcW w:w="4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par value $0.00001 per share; 93,066,066 shares authorized, 93,066,065 shares issued and outstanding, actual; no shares authorized, issued and outstanding, pro forma and pro forma as adjusted</w:t>
            </w:r>
          </w:p>
        </w:tc>
        <w:tc>
          <w:tcPr>
            <w:tcW w:w="24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342,831</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sz w:val="4"/>
                <w:szCs w:val="4"/>
              </w:rPr>
            </w:pPr>
            <w:r>
              <w:rPr>
                <w:sz w:val="4"/>
                <w:szCs w:val="4"/>
              </w:rPr>
            </w:r>
          </w:p>
        </w:tc>
        <w:tc>
          <w:tcPr>
            <w:tcW w:w="163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par value $0.00001 per share; no shares authorized, issued and outstanding, actual; 10,000,000 shares authorized, no shares issued and outstanding, pro forma and pro forma as adjusted</w:t>
            </w:r>
          </w:p>
        </w:tc>
        <w:tc>
          <w:tcPr>
            <w:tcW w:w="24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63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par value $0.00001 per share; 132,700,000 shares authorized, 1,723,664 shares issued and outstanding, actual; 500,000,000 shares authorized, 22,578,296 shares issued and outstanding, pro forma; 500,000,000 shares authorized, 34,167,184 shares issued and outstanding, pro forma as adjusted</w:t>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4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4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10,977</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353,808</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542,806</w:t>
            </w:r>
          </w:p>
        </w:tc>
        <w:tc>
          <w:tcPr>
            <w:tcW w:w="160" w:type="dxa"/>
            <w:tcBorders/>
            <w:shd w:fill="CCEEFF" w:val="clear"/>
            <w:vAlign w:val="bottom"/>
          </w:tcPr>
          <w:p>
            <w:pPr>
              <w:pStyle w:val="TableContents"/>
              <w:bidi w:val="0"/>
              <w:spacing w:before="0" w:after="283"/>
              <w:jc w:val="left"/>
              <w:rPr/>
            </w:pPr>
            <w:r>
              <w:rPr/>
              <w:t> </w:t>
            </w:r>
          </w:p>
        </w:tc>
      </w:tr>
      <w:tr>
        <w:trPr/>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167</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167</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167</w:t>
            </w:r>
          </w:p>
        </w:tc>
        <w:tc>
          <w:tcPr>
            <w:tcW w:w="160" w:type="dxa"/>
            <w:tcBorders/>
            <w:vAlign w:val="bottom"/>
          </w:tcPr>
          <w:p>
            <w:pPr>
              <w:pStyle w:val="TableContents"/>
              <w:bidi w:val="0"/>
              <w:spacing w:before="0" w:after="283"/>
              <w:jc w:val="left"/>
              <w:rPr/>
            </w:pPr>
            <w:r>
              <w:rPr/>
              <w:t> </w:t>
            </w:r>
          </w:p>
        </w:tc>
      </w:tr>
      <w:tr>
        <w:trPr/>
        <w:tc>
          <w:tcPr>
            <w:tcW w:w="4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4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(208,275</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(208,275</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(208,275</w:t>
            </w:r>
          </w:p>
        </w:tc>
        <w:tc>
          <w:tcPr>
            <w:tcW w:w="160" w:type="dxa"/>
            <w:tcBorders/>
            <w:shd w:fill="CCEEFF" w:val="clear"/>
            <w:vAlign w:val="bottom"/>
          </w:tcPr>
          <w:p>
            <w:pPr>
              <w:pStyle w:val="TableContents"/>
              <w:bidi w:val="0"/>
              <w:spacing w:before="0" w:after="283"/>
              <w:jc w:val="left"/>
              <w:rPr/>
            </w:pPr>
            <w:r>
              <w:rPr/>
              <w:t>) </w:t>
            </w:r>
          </w:p>
        </w:tc>
      </w:tr>
      <w:tr>
        <w:trPr/>
        <w:tc>
          <w:tcPr>
            <w:tcW w:w="4228"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2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(197,131</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145,700</w:t>
            </w:r>
          </w:p>
        </w:tc>
        <w:tc>
          <w:tcPr>
            <w:tcW w:w="19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334,698</w:t>
            </w:r>
          </w:p>
        </w:tc>
        <w:tc>
          <w:tcPr>
            <w:tcW w:w="160" w:type="dxa"/>
            <w:tcBorders/>
            <w:vAlign w:val="bottom"/>
          </w:tcPr>
          <w:p>
            <w:pPr>
              <w:pStyle w:val="TableContents"/>
              <w:bidi w:val="0"/>
              <w:spacing w:before="0" w:after="283"/>
              <w:jc w:val="left"/>
              <w:rPr/>
            </w:pPr>
            <w:r>
              <w:rPr/>
              <w:t> </w:t>
            </w:r>
          </w:p>
        </w:tc>
      </w:tr>
      <w:tr>
        <w:trPr/>
        <w:tc>
          <w:tcPr>
            <w:tcW w:w="4228"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4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151,071</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151,071</w:t>
            </w:r>
          </w:p>
        </w:tc>
        <w:tc>
          <w:tcPr>
            <w:tcW w:w="19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639" w:type="dxa"/>
            <w:tcBorders/>
            <w:shd w:fill="CCEEFF" w:val="clear"/>
            <w:vAlign w:val="bottom"/>
          </w:tcPr>
          <w:p>
            <w:pPr>
              <w:pStyle w:val="TableContents"/>
              <w:bidi w:val="0"/>
              <w:spacing w:before="0" w:after="283"/>
              <w:jc w:val="right"/>
              <w:rPr/>
            </w:pPr>
            <w:r>
              <w:rPr/>
              <w:t>340,069</w:t>
            </w:r>
          </w:p>
        </w:tc>
        <w:tc>
          <w:tcPr>
            <w:tcW w:w="160" w:type="dxa"/>
            <w:tcBorders/>
            <w:shd w:fill="CCEEFF" w:val="clear"/>
            <w:vAlign w:val="bottom"/>
          </w:tcPr>
          <w:p>
            <w:pPr>
              <w:pStyle w:val="TableContents"/>
              <w:bidi w:val="0"/>
              <w:spacing w:before="0" w:after="283"/>
              <w:jc w:val="left"/>
              <w:rPr/>
            </w:pPr>
            <w:r>
              <w:rPr/>
              <w:t> </w:t>
            </w:r>
          </w:p>
        </w:tc>
      </w:tr>
      <w:tr>
        <w:trPr/>
        <w:tc>
          <w:tcPr>
            <w:tcW w:w="4228"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63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option to purchase additional shares is exercised in full, our pro forma as adjusted cash, cash equivalents and investments, additional paid-in capital, total stockholders equity and total capitalization as of June 30, 2024, would be $376.6 million, $570.4 million, $362.3 million, and $367.7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number of shares of our common stock to be outstanding after this offering and the concurrent private placement on a pro forma and pro forma as adjusted basis set forth in the table above is based on 22,578,296 shares of our common stock outstanding as of June 30, 2024, after giving effect to the automatic conversion of all shares of our outstanding redeemable convertible preferred stock as of June 30, 2024 into an aggregate of 20,854,632 shares of our common stock in connection with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4,522,711 shares of our common stock issuable upon the exercise of stock options outstanding as of June 30, 2024 under our 2015 Plan, with a weighted-average exercise price of $8.41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245,245 shares of our common stock issuable upon the exercise of stock options granted after June 30, 2024 under our 2015 Plan, with a weighted-average exercise price of $10.72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424,827 shares of common stock issuable upon the exercise of stock options under the 2024 Equity Incentive Plan (2024 Plan) to Dr. Fortney immediately following effectiveness of the registration statement of which this prospectus forms a part at an exercise price equal to the initial public offering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85,640 shares of common stock issuable upon the exercise of options we granted to certain of our directors and employees, under the 2024 Plan immediately following effectiveness of the registration statement of which this prospectus forms a part at an exercise price equal to the initial public offering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6,722 shares of our common stock issuable upon the exercise of a warrant outstanding as of June 30, 2024, with an exercise price of $3.22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24,968 shares of our common stock issuable upon the exercise of warrants outstanding as of June 30, 2024, with an exercise price of $10.27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3,650,000 shares of our common stock reserved for future issuance under our 2024 Plan, which became effective in connection with this offering (including 943,682 shares reserved for issuance under our 2015 Plan, which shares will be added to the 2024 Plan upon its effectiveness);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330,000 shares of our common stock to be reserved for future issuance under our ESPP, which became effective in connection with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35745_8"/>
      <w:bookmarkEnd w:id="10"/>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 and the concurrent private placement. </w:t>
      </w:r>
    </w:p>
    <w:p>
      <w:pPr>
        <w:pStyle w:val="TextBody"/>
        <w:bidi w:val="0"/>
        <w:spacing w:before="240" w:after="0"/>
        <w:jc w:val="both"/>
        <w:rPr>
          <w:rFonts w:ascii="Times New Roman" w:hAnsi="Times New Roman"/>
          <w:sz w:val="20"/>
        </w:rPr>
      </w:pPr>
      <w:r>
        <w:rPr>
          <w:rFonts w:ascii="Times New Roman" w:hAnsi="Times New Roman"/>
          <w:sz w:val="20"/>
        </w:rPr>
        <w:t xml:space="preserve">Net tangible book value per share is determined by dividing our total tangible assets (which excludes deferred offering costs) less our total liabilities and redeemable convertible preferred stock by the number of shares of our common stock outstanding. Our historical net tangible book deficit as of June 30, 2024 was $199.7 million, or $(115.87) per share, based on 1,723,664 shares of our common stock outstanding as of that date. </w:t>
      </w:r>
    </w:p>
    <w:p>
      <w:pPr>
        <w:pStyle w:val="TextBody"/>
        <w:bidi w:val="0"/>
        <w:spacing w:before="240" w:after="0"/>
        <w:jc w:val="both"/>
        <w:rPr>
          <w:rFonts w:ascii="Times New Roman" w:hAnsi="Times New Roman"/>
          <w:sz w:val="20"/>
        </w:rPr>
      </w:pPr>
      <w:r>
        <w:rPr>
          <w:rFonts w:ascii="Times New Roman" w:hAnsi="Times New Roman"/>
          <w:sz w:val="20"/>
        </w:rPr>
        <w:t xml:space="preserve">After giving effect to the automatic conversion of all outstanding shares of our redeemable convertible preferred stock as of June 30, 2024 into an aggregate of 20,854,632 shares of our common stock and the related reclassification of the carrying value of the redeemable convertible preferred stock to permanent equity in connection with this offering, our pro forma net tangible book value as of June 30, 2024 would have been $143.1 million, or $6.34 per share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After giving further effect to the sale by us of 11,000,000 shares of common stock in this offering and the 588,888 shares of common stock in the concurrent private placement, at the initial public offering price of $18.00 per share and after deducting the underwriting discounts and commissions, placement agent fees, estimated offering expenses and concurrent private placement expenses payable by us, our pro forma as adjusted net tangible book value as of June 30, 2024 would have been $334.7 million, or approximately $9.80 per share. This amount represents an immediate increase in pro forma as adjusted net tangible book value of $3.46 per share to our existing stockholders and an immediate dilution in pro forma net tangible book value of approximately $8.20 per share to new investors participating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Dilution per share to new investors is determined by subtracting pro forma as adjusted net tangible book value per share after this offering and the concurrent private placement from the initial public offering price per share paid by new investors. The following table illustrates this dilution (without giving effect to any exercise by the underwriters of their option to purchase additional shares):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092"/>
        <w:gridCol w:w="344"/>
        <w:gridCol w:w="140"/>
        <w:gridCol w:w="821"/>
        <w:gridCol w:w="166"/>
        <w:gridCol w:w="344"/>
        <w:gridCol w:w="140"/>
        <w:gridCol w:w="562"/>
        <w:gridCol w:w="65"/>
      </w:tblGrid>
      <w:tr>
        <w:trPr/>
        <w:tc>
          <w:tcPr>
            <w:tcW w:w="6092"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 per share</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18.00</w:t>
            </w:r>
          </w:p>
        </w:tc>
        <w:tc>
          <w:tcPr>
            <w:tcW w:w="65" w:type="dxa"/>
            <w:tcBorders/>
            <w:shd w:fill="CCEEFF" w:val="clear"/>
            <w:vAlign w:val="bottom"/>
          </w:tcPr>
          <w:p>
            <w:pPr>
              <w:pStyle w:val="TableContents"/>
              <w:bidi w:val="0"/>
              <w:spacing w:before="0" w:after="283"/>
              <w:jc w:val="left"/>
              <w:rPr/>
            </w:pPr>
            <w:r>
              <w:rPr/>
              <w:t> </w:t>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(deficit) per share as of June 30, 2024</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(115.87</w:t>
            </w:r>
          </w:p>
        </w:tc>
        <w:tc>
          <w:tcPr>
            <w:tcW w:w="166"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increase in historical net tangible book value per share as of June 30, 2024 attributable to the pro forma adjustments described above</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122.21</w:t>
            </w:r>
          </w:p>
        </w:tc>
        <w:tc>
          <w:tcPr>
            <w:tcW w:w="166"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092"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June 30, 2024</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6.34</w:t>
            </w:r>
          </w:p>
        </w:tc>
        <w:tc>
          <w:tcPr>
            <w:tcW w:w="166"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participating in this offering and in the concurrent private placement</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3.46</w:t>
            </w:r>
          </w:p>
        </w:tc>
        <w:tc>
          <w:tcPr>
            <w:tcW w:w="166"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092"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092"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this offering and in the concurrent private placement</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9.80</w:t>
            </w:r>
          </w:p>
        </w:tc>
        <w:tc>
          <w:tcPr>
            <w:tcW w:w="65" w:type="dxa"/>
            <w:tcBorders/>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 and in the concurrent private placement</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8.20</w:t>
            </w:r>
          </w:p>
        </w:tc>
        <w:tc>
          <w:tcPr>
            <w:tcW w:w="65" w:type="dxa"/>
            <w:tcBorders/>
            <w:shd w:fill="CCEEFF" w:val="clear"/>
            <w:vAlign w:val="bottom"/>
          </w:tcPr>
          <w:p>
            <w:pPr>
              <w:pStyle w:val="TableContents"/>
              <w:bidi w:val="0"/>
              <w:spacing w:before="0" w:after="283"/>
              <w:jc w:val="left"/>
              <w:rPr/>
            </w:pPr>
            <w:r>
              <w:rPr/>
              <w:t> </w:t>
            </w:r>
          </w:p>
        </w:tc>
      </w:tr>
      <w:tr>
        <w:trPr/>
        <w:tc>
          <w:tcPr>
            <w:tcW w:w="6092"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additional shares in full, the pro forma as adjusted net tangible book value after the offering and the concurrent private placement would be approximately $10.12 per share, the increase in pro forma as adjusted net tangible book value per share to existing stockholders would be approximately $0.32 per share, and would decrease dilution per share and the dilution to new investors in this offering and concurrent private placement by approximately $0.32 per share at the initial public offering price of $18.00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shows, as of June 30, 2024, on a pro forma as adjusted basis described above, the differences between the existing stockholders and the new investors purchasing shares in this offering and in the concurrent private placement at the initial public offering price of $18.00 per share with respect to the number of shares purchased from us, the total consideration paid, which includes net proceeds received from the issuance of common and redeemable convertible preferred stock and cash received from the exercise of stock options, and the weighted-average price paid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4"/>
        <w:gridCol w:w="170"/>
        <w:gridCol w:w="60"/>
        <w:gridCol w:w="1198"/>
        <w:gridCol w:w="60"/>
        <w:gridCol w:w="170"/>
        <w:gridCol w:w="60"/>
        <w:gridCol w:w="1113"/>
        <w:gridCol w:w="275"/>
        <w:gridCol w:w="117"/>
        <w:gridCol w:w="140"/>
        <w:gridCol w:w="1305"/>
        <w:gridCol w:w="60"/>
        <w:gridCol w:w="170"/>
        <w:gridCol w:w="60"/>
        <w:gridCol w:w="1112"/>
        <w:gridCol w:w="275"/>
        <w:gridCol w:w="117"/>
        <w:gridCol w:w="221"/>
        <w:gridCol w:w="918"/>
        <w:gridCol w:w="70"/>
      </w:tblGrid>
      <w:tr>
        <w:trPr/>
        <w:tc>
          <w:tcPr>
            <w:tcW w:w="2534"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53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6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8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117" w:type="dxa"/>
            <w:vMerge w:val="restart"/>
            <w:tcBorders/>
            <w:vAlign w:val="bottom"/>
          </w:tcPr>
          <w:p>
            <w:pPr>
              <w:pStyle w:val="TableContents"/>
              <w:bidi w:val="0"/>
              <w:spacing w:before="0" w:after="283"/>
              <w:jc w:val="left"/>
              <w:rPr/>
            </w:pPr>
            <w:r>
              <w:rPr/>
              <w:t> </w:t>
            </w:r>
          </w:p>
        </w:tc>
        <w:tc>
          <w:tcPr>
            <w:tcW w:w="113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r>
            <w:r>
              <w:rPr/>
              <w:br/>
            </w:r>
            <w:r>
              <w:rPr>
                <w:b/>
              </w:rPr>
              <w:t>Price Per</w:t>
              <w:br/>
              <w:t>Share</w:t>
            </w:r>
          </w:p>
        </w:tc>
        <w:tc>
          <w:tcPr>
            <w:tcW w:w="70" w:type="dxa"/>
            <w:vMerge w:val="restart"/>
            <w:tcBorders/>
            <w:vAlign w:val="bottom"/>
          </w:tcPr>
          <w:p>
            <w:pPr>
              <w:pStyle w:val="TableContents"/>
              <w:bidi w:val="0"/>
              <w:spacing w:before="0" w:after="283"/>
              <w:jc w:val="left"/>
              <w:rPr/>
            </w:pPr>
            <w:r>
              <w:rPr/>
              <w:t> </w:t>
            </w:r>
          </w:p>
        </w:tc>
      </w:tr>
      <w:tr>
        <w:trPr/>
        <w:tc>
          <w:tcPr>
            <w:tcW w:w="2534" w:type="dxa"/>
            <w:tcBorders/>
            <w:vAlign w:val="bottom"/>
          </w:tcPr>
          <w:p>
            <w:pPr>
              <w:pStyle w:val="TableContents"/>
              <w:bidi w:val="0"/>
              <w:spacing w:before="0" w:after="283"/>
              <w:jc w:val="left"/>
              <w:rPr>
                <w:b/>
              </w:rPr>
            </w:pPr>
            <w:r>
              <w:rPr>
                <w:b/>
              </w:rPr>
              <w:t>(in thousands, except share and per share amounts)</w:t>
            </w:r>
          </w:p>
        </w:tc>
        <w:tc>
          <w:tcPr>
            <w:tcW w:w="170"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Amount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17" w:type="dxa"/>
            <w:vMerge w:val="continue"/>
            <w:tcBorders/>
            <w:vAlign w:val="bottom"/>
          </w:tcPr>
          <w:p>
            <w:pPr>
              <w:pStyle w:val="Normal"/>
              <w:bidi w:val="0"/>
              <w:jc w:val="left"/>
              <w:rPr/>
            </w:pPr>
            <w:r>
              <w:rPr/>
            </w:r>
          </w:p>
        </w:tc>
        <w:tc>
          <w:tcPr>
            <w:tcW w:w="1139" w:type="dxa"/>
            <w:gridSpan w:val="2"/>
            <w:vMerge w:val="continue"/>
            <w:tcBorders>
              <w:bottom w:val="single" w:sz="8" w:space="0" w:color="000000"/>
            </w:tcBorders>
            <w:tcMar>
              <w:bottom w:w="28" w:type="dxa"/>
            </w:tcMar>
            <w:vAlign w:val="bottom"/>
          </w:tcPr>
          <w:p>
            <w:pPr>
              <w:pStyle w:val="Normal"/>
              <w:bidi w:val="0"/>
              <w:jc w:val="left"/>
              <w:rPr/>
            </w:pPr>
            <w:r>
              <w:rPr/>
            </w:r>
          </w:p>
        </w:tc>
        <w:tc>
          <w:tcPr>
            <w:tcW w:w="70" w:type="dxa"/>
            <w:vMerge w:val="continue"/>
            <w:tcBorders/>
            <w:vAlign w:val="bottom"/>
          </w:tcPr>
          <w:p>
            <w:pPr>
              <w:pStyle w:val="Normal"/>
              <w:bidi w:val="0"/>
              <w:jc w:val="left"/>
              <w:rPr/>
            </w:pPr>
            <w:r>
              <w:rPr/>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 before this offering and concurrent private placement</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22,578,296</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66.1%</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320,717,303</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60.6%</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918" w:type="dxa"/>
            <w:tcBorders/>
            <w:shd w:fill="CCEEFF" w:val="clear"/>
            <w:vAlign w:val="bottom"/>
          </w:tcPr>
          <w:p>
            <w:pPr>
              <w:pStyle w:val="TableContents"/>
              <w:bidi w:val="0"/>
              <w:spacing w:before="0" w:after="283"/>
              <w:jc w:val="right"/>
              <w:rPr/>
            </w:pPr>
            <w:r>
              <w:rPr/>
              <w:t>14.20</w:t>
            </w:r>
          </w:p>
        </w:tc>
        <w:tc>
          <w:tcPr>
            <w:tcW w:w="70" w:type="dxa"/>
            <w:tcBorders/>
            <w:shd w:fill="CCEEFF" w:val="clear"/>
            <w:vAlign w:val="bottom"/>
          </w:tcPr>
          <w:p>
            <w:pPr>
              <w:pStyle w:val="TableContents"/>
              <w:bidi w:val="0"/>
              <w:spacing w:before="0" w:after="283"/>
              <w:jc w:val="left"/>
              <w:rPr/>
            </w:pPr>
            <w:r>
              <w:rPr/>
              <w:t> </w:t>
            </w:r>
          </w:p>
        </w:tc>
      </w:tr>
      <w:tr>
        <w:trPr/>
        <w:tc>
          <w:tcPr>
            <w:tcW w:w="2534"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 participating in this offering and the concurrent private placement</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11,588,888</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33.9%</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208,600,000</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39.4</w:t>
            </w:r>
          </w:p>
        </w:tc>
        <w:tc>
          <w:tcPr>
            <w:tcW w:w="27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918" w:type="dxa"/>
            <w:tcBorders/>
            <w:vAlign w:val="bottom"/>
          </w:tcPr>
          <w:p>
            <w:pPr>
              <w:pStyle w:val="TableContents"/>
              <w:bidi w:val="0"/>
              <w:spacing w:before="0" w:after="283"/>
              <w:jc w:val="right"/>
              <w:rPr/>
            </w:pPr>
            <w:r>
              <w:rPr/>
              <w:t>18.00</w:t>
            </w:r>
          </w:p>
        </w:tc>
        <w:tc>
          <w:tcPr>
            <w:tcW w:w="70" w:type="dxa"/>
            <w:tcBorders/>
            <w:vAlign w:val="bottom"/>
          </w:tcPr>
          <w:p>
            <w:pPr>
              <w:pStyle w:val="TableContents"/>
              <w:bidi w:val="0"/>
              <w:spacing w:before="0" w:after="283"/>
              <w:jc w:val="left"/>
              <w:rPr/>
            </w:pPr>
            <w:r>
              <w:rPr/>
              <w:t> </w:t>
            </w:r>
          </w:p>
        </w:tc>
      </w:tr>
      <w:tr>
        <w:trPr/>
        <w:tc>
          <w:tcPr>
            <w:tcW w:w="25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34,167,184</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r>
              <w:rPr/>
              <w:t>100.0</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5" w:type="dxa"/>
            <w:tcBorders/>
            <w:shd w:fill="CCEEFF" w:val="clear"/>
            <w:vAlign w:val="bottom"/>
          </w:tcPr>
          <w:p>
            <w:pPr>
              <w:pStyle w:val="TableContents"/>
              <w:bidi w:val="0"/>
              <w:spacing w:before="0" w:after="283"/>
              <w:jc w:val="right"/>
              <w:rPr/>
            </w:pPr>
            <w:r>
              <w:rPr/>
              <w:t>529,317,303</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r>
              <w:rPr/>
              <w:t>100.0</w:t>
            </w:r>
          </w:p>
        </w:tc>
        <w:tc>
          <w:tcPr>
            <w:tcW w:w="27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53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91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presentation in this table regarding ownership by existing stockholders does not give effect to any purchases that existing stockholders may make through our directed share program or otherwise purchase in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to the extent that any outstanding options or warrants are exercised, investors in this offering will experience further dilution. </w:t>
      </w:r>
    </w:p>
    <w:p>
      <w:pPr>
        <w:pStyle w:val="TextBody"/>
        <w:bidi w:val="0"/>
        <w:spacing w:before="240" w:after="0"/>
        <w:jc w:val="both"/>
        <w:rPr>
          <w:rFonts w:ascii="Times New Roman" w:hAnsi="Times New Roman"/>
          <w:sz w:val="20"/>
        </w:rPr>
      </w:pPr>
      <w:r>
        <w:rPr>
          <w:rFonts w:ascii="Times New Roman" w:hAnsi="Times New Roman"/>
          <w:sz w:val="20"/>
        </w:rPr>
        <w:t xml:space="preserve">Except as otherwise indicated, the above discussion and tables assume no exercise of the underwriters option to purchase additional shares. If the underwriters exercise their option to purchase additional shares in full, our existing stockholders would own 63.0% and our new investors would own 37.0% of the total number of shares of our common stock outstanding upon the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foregoing tables and calculations (other than historical net tangible book value) are based on shares of our common stock outstanding as of June 30, 2024, after giving effect to the automatic conversion of all shares of our outstanding redeemable convertible preferred stock as of June 30, 2024 into an aggregate of 20,854,632 shares of our common stock in connection with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4,522,711 shares of our common stock issuable upon the exercise of stock options outstanding as of June 30, 2024 under our 2015 Plan, with a weighted-average exercise price of $8.41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245,245 shares of our common stock issuable upon the exercise of stock options granted after June 30, 2024 under our 2015 Plan, with a weighted-average exercise price of $10.72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424,827 shares of common stock issuable upon the exercise of stock options under the 2024 Equity Incentive Plan (2024 Plan) to Dr. Fortney immediately following effectiveness of the registration statement of which this prospectus forms a part at an exercise price equal to the initial public offering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85,640 shares of common stock issuable upon the exercise of options we granted to certain of our directors and employees, under the 2024 Plan immediately following effectiveness of the registration statement of which this prospectus forms a part at an exercise price equal to the initial public offering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6,722 shares of our common stock issuable upon the exercise of a warrant outstanding as of June 30, 2024 with an exercise price of $3.22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24,968 shares of our common stock issuable upon the exercise of warrants outstanding as of June 30, 2024 with an exercise price of $10.27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3,650,000 shares of our common stock reserved for future issuance under our 2024 Plan, which became effective in connection with this offering (including 943,682 shares reserved for issuance under our 2015 Plan, which shares will be added to the 2024 Plan upon its effectiveness);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330,000 shares of our common stock to be reserved for future issuance under our ESPP, which became effective in connection with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2024 Plan and ESPP provide for automatic annual increases in the number of shares of common stock reserved thereunder, and our 2024 Plan provides for increases to the number of shares that may be granted thereunder based on shares under our 2015 Plan that expire, are tendered to or withheld by us for payment of an exercise price or for satisfying tax withholding obligations or are forfeited or otherwise repurchased by us. See the section titled Executive CompensationEquity Compensation Plans and Other Benefit Plans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To the extent that these outstanding stock options are exercised, new stock options are issued or we issue additional shares of our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35745_9"/>
      <w:bookmarkEnd w:id="11"/>
      <w:r>
        <w:rPr>
          <w:rFonts w:ascii="Times New Roman" w:hAnsi="Times New Roman"/>
          <w:b/>
          <w:sz w:val="20"/>
        </w:rPr>
        <w:t xml:space="preserve">MANAGEMENTS DISCUSSION AND ANALYSIS </w:t>
      </w:r>
    </w:p>
    <w:p>
      <w:pPr>
        <w:pStyle w:val="TextBody"/>
        <w:bidi w:val="0"/>
        <w:spacing w:before="0" w:after="0"/>
        <w:jc w:val="center"/>
        <w:rPr>
          <w:rFonts w:ascii="Times New Roman" w:hAnsi="Times New Roman"/>
          <w:b/>
          <w:sz w:val="20"/>
        </w:rPr>
      </w:pPr>
      <w:r>
        <w:rPr>
          <w:rFonts w:ascii="Times New Roman" w:hAnsi="Times New Roman"/>
          <w:b/>
          <w:sz w:val="20"/>
        </w:rPr>
        <w:t xml:space="preserve">OF FINANCIAL CONDITION AND RESULTS OF OPERATIONS </w:t>
      </w:r>
    </w:p>
    <w:p>
      <w:pPr>
        <w:pStyle w:val="TextBody"/>
        <w:bidi w:val="0"/>
        <w:spacing w:before="240" w:after="0"/>
        <w:jc w:val="both"/>
        <w:rPr>
          <w:rFonts w:ascii="Times New Roman" w:hAnsi="Times New Roman"/>
          <w:i/>
          <w:sz w:val="20"/>
        </w:rPr>
      </w:pPr>
      <w:r>
        <w:rPr>
          <w:rFonts w:ascii="Times New Roman" w:hAnsi="Times New Roman"/>
          <w:i/>
          <w:sz w:val="20"/>
        </w:rPr>
        <w:t xml:space="preserve">You should read the following discussion and analysis of our financial condition and results of operations in conjunction with our consolidated financial statements and the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clinical-stage biopharmaceutical company developing therapeutic product candidates for metabolic diseases, such as obesity, by targeting the biology of human aging. Our technology platform and differentiated human datasets enable us to identify promising targets based on insights into molecular changes that drive aging. Our primary focus is metabolic disease, one of the greatest global healthcare challenges. Azelaprag, our lead product candidate, is an orally available small molecule that has been well-tolerated in 265 individuals across eight Phase 1 clinical trials. In preclinical obesity models, azelaprag demonstrated the ability to more than double the weight loss induced by a glucagon-like-peptide-1 receptor (GLP-1R) agonist while also restoring healthy body composition and improving muscle function. These preclinical results are supported by our Phase 1b clinical trial in older adults on bed rest where we observed decreased muscle atrophy, preservation of muscle quality and improved metabolism in subjects treated with azelaprag over a 10-day period. We plan to assess azelaprags potential to drive significant improvements in weight loss when combined with a GLP-1R agonist in two Phase 2 clinical trials. While the results of these preclinical studies and early clinical trials have demonstrated the potential use of azelaprag for the treatment of metabolic disease, they may not be predictive of the results of later-stage clinical trials. The ongoing STRIDES clinical trial will assess azelaprag in combination with tirzepatide, marketed as Zepbound® by Eli Lilly (Lilly), with topline results anticipated in the third quarter of 2025. The second Phase 2 clinical trial will assess azelaprag in combination with semaglutide, marketed as Wegovy® by Novo Nordisk, with initiation expected in the first half of 2025 and topline results expected in the second half of 2026. We believe these trials will directly support our ultimate therapeutic goal of developing an all-oral combination product for obesity. We also intend to initiate an insulin sensitivity proof-of-concept trial of azelaprag monotherapy in the first half of 2025 to support potential indication expansion. We expect to report topline results from this proof-of-concept trial in the second half of 2025. We are also developing orally-available small molecule brain-penetrant NLRP3 inhibitors for the treatment of diseases driven by neuroinflammation. We anticipate submitting an Investigational New Drug application (IND) for an NLRP3 inhibitor in the second half of 2025 and, if cleared, initiating a Phase 1 clinical trial in the first half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portfolio of product candidates is summarized in the figure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053330" cy="20320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053330" cy="203200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Since our inception in 2015, we have devoted substantially all of our efforts to organizing and staffing our company, business planning, raising capital, establishing our intellectual property portfolio, acquiring or discovering product candidates, research and development activities for our product candidates, establishing arrangements with third parties for the manufacture of our product candidates and component materials, and providing general and administrative support for these operations. We do not have any products approved for sale and have not generated any revenue from product sales. To date, we have financed our operations primarily with proceeds from sales of shares of our redeemable convertible preferred stock. From inception, through June 30, 2024, we have raised aggregate gross proceeds of approximately $320.7 million through the sale and issuance of our common stock, redeemable convertible preferred stock and convertible promissory notes. Our primary uses of capital are, and we expect will continue to be, research and development services, compensation and related expenses, and general overhead costs. </w:t>
      </w:r>
    </w:p>
    <w:p>
      <w:pPr>
        <w:pStyle w:val="TextBody"/>
        <w:bidi w:val="0"/>
        <w:spacing w:before="240" w:after="0"/>
        <w:jc w:val="both"/>
        <w:rPr>
          <w:rFonts w:ascii="Times New Roman" w:hAnsi="Times New Roman"/>
          <w:sz w:val="20"/>
        </w:rPr>
      </w:pPr>
      <w:r>
        <w:rPr>
          <w:rFonts w:ascii="Times New Roman" w:hAnsi="Times New Roman"/>
          <w:sz w:val="20"/>
        </w:rPr>
        <w:t xml:space="preserve">We have incurred significant operating losses and negative cash flows since inception. Our ability to generate product revenue sufficient to achieve profitability will depend heavily on the successful development and eventual commercialization of azelaprag and any future product candidates. Our net losses were $26.6 million and $28.3 million for the six months ended June 30, 2024 and 2023, respectively, and $63.9 million and $39.7 million for the years ended December 31, 2023 and 2022, respectively. As of June 30, 2024, we had an accumulated deficit of $208.3 million. We expect to continue to incur net operating losses for the foreseeable future, and we expect our research and development expenses, general and administrative expenses, and capital expenditures will increase substantially in connection with our ongoing activities, particularly if, and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 to progress the development of our lead product candidate, azelaprag;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explore additional indications for our existing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discover and develop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 expand, maintain, defend and enforce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manufacture, or have manufactured, preclinical, clinical and potentially commercial supplies of azelaprag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seek regulatory approvals for azelaprag or any future product candidates that successfully complete clinical trials,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 a sales, marketing and distribution infrastructure to commercialize azelaprag or any future product candidates,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seek to identify, evaluate and establish licenses, collaborations or other strategic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hire additional clinical, scientific and management personnel, as well as administrative staff to support the growth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 operational, financial and management information systems and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incur additional legal, accounting and other costs associated with operating as a public company following the completion of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net losses may fluctuate significantly from period to period, depending on the timing of factors above. </w:t>
      </w:r>
    </w:p>
    <w:p>
      <w:pPr>
        <w:pStyle w:val="TextBody"/>
        <w:bidi w:val="0"/>
        <w:spacing w:before="240" w:after="0"/>
        <w:jc w:val="both"/>
        <w:rPr>
          <w:rFonts w:ascii="Times New Roman" w:hAnsi="Times New Roman"/>
          <w:sz w:val="20"/>
        </w:rPr>
      </w:pPr>
      <w:r>
        <w:rPr>
          <w:rFonts w:ascii="Times New Roman" w:hAnsi="Times New Roman"/>
          <w:sz w:val="20"/>
        </w:rPr>
        <w:t xml:space="preserve">We will not generate revenue from product sales unless and until we successfully complete clinical development and obtain regulatory approval for a product candidate.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t>
      </w:r>
    </w:p>
    <w:p>
      <w:pPr>
        <w:pStyle w:val="TextBody"/>
        <w:bidi w:val="0"/>
        <w:spacing w:before="240" w:after="0"/>
        <w:jc w:val="both"/>
        <w:rPr>
          <w:rFonts w:ascii="Times New Roman" w:hAnsi="Times New Roman"/>
          <w:sz w:val="20"/>
        </w:rPr>
      </w:pPr>
      <w:r>
        <w:rPr>
          <w:rFonts w:ascii="Times New Roman" w:hAnsi="Times New Roman"/>
          <w:sz w:val="20"/>
        </w:rPr>
        <w:t xml:space="preserve">As a result, we will need substantial additional funding to support our continuing operations and pursue our growth strategy. Until such time, if ever, as we can generate substantial product revenues, we expect to finance our cash needs through equity offerings, debt financings or other capital sources, which could include licenses, collaborations, or other strategic partnerships.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 Our ability to raise additional funds may also be adversely impacted by potential worsening global macroeconomic, industry and market conditions in either domestic or international markets, as well as economic conditions specifically affecting industries in which we operate, including but not limited to, actual or perceived instability in the banking industry, potential uncertainty with respect to the U.S. federal debt ceiling and budget and potential government shutdowns related thereto, labor shortages, supply chain disruptions, potential recession, inflation and changing interest rates and political instability and miliary hostilities in multiple geographies, such as the conflicts in Ukraine, the Middle East and tensions between China and Taiwan. </w:t>
      </w:r>
    </w:p>
    <w:p>
      <w:pPr>
        <w:pStyle w:val="TextBody"/>
        <w:bidi w:val="0"/>
        <w:spacing w:before="240" w:after="0"/>
        <w:jc w:val="both"/>
        <w:rPr>
          <w:rFonts w:ascii="Times New Roman" w:hAnsi="Times New Roman"/>
          <w:sz w:val="20"/>
        </w:rPr>
      </w:pPr>
      <w:r>
        <w:rPr>
          <w:rFonts w:ascii="Times New Roman" w:hAnsi="Times New Roman"/>
          <w:sz w:val="20"/>
        </w:rPr>
        <w:t xml:space="preserve">Because of the numerous risks and uncertainties associated with development of product candidates,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 </w:t>
      </w:r>
    </w:p>
    <w:p>
      <w:pPr>
        <w:pStyle w:val="TextBody"/>
        <w:bidi w:val="0"/>
        <w:spacing w:before="240" w:after="0"/>
        <w:jc w:val="both"/>
        <w:rPr>
          <w:rFonts w:ascii="Times New Roman" w:hAnsi="Times New Roman"/>
          <w:sz w:val="20"/>
        </w:rPr>
      </w:pPr>
      <w:r>
        <w:rPr>
          <w:rFonts w:ascii="Times New Roman" w:hAnsi="Times New Roman"/>
          <w:sz w:val="20"/>
        </w:rPr>
        <w:t xml:space="preserve">We oversee and manage third party Contract Development and Manufacturing Organizations (CDMOs) to support development and manufacture of azelaprag for our preclinical and clinical trials. We expect to enter into commercial supply agreements with commercial manufacturers prior to any potential regulatory approval of azelaprag or any future product candidates. We continue to develop a commercial route for azelaprag manufacture in alignment with our program timeline. We believe our current manufacturers are able to supply the upcoming clinical trials and additional CDMOs may be on-boarded at later stages of clinical and commercial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As of June 30, 2024, we had $159.1 million in cash and cash equivalents. Based on our current operating plan, we estimate that our existing cash and cash equivalents as of the date of this prospectus, together with the net proceeds from this offering, will be sufficient to fund our operations and capital expenses into 2029. However, we have based this estimate on assumptions that may prove to be wrong, and we could exhaust our available capital resources sooner than we expect.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License Agreement with Amgen, Inc. </w:t>
      </w:r>
    </w:p>
    <w:p>
      <w:pPr>
        <w:pStyle w:val="TextBody"/>
        <w:bidi w:val="0"/>
        <w:spacing w:before="120" w:after="0"/>
        <w:jc w:val="both"/>
        <w:rPr>
          <w:rFonts w:ascii="Times New Roman" w:hAnsi="Times New Roman"/>
          <w:sz w:val="20"/>
        </w:rPr>
      </w:pPr>
      <w:r>
        <w:rPr>
          <w:rFonts w:ascii="Times New Roman" w:hAnsi="Times New Roman"/>
          <w:sz w:val="20"/>
        </w:rPr>
        <w:t xml:space="preserve">On April 5, 2021, we entered into an exclusive license agreement (the Amgen Agreement) with Amgen Inc. (Amgen) pursuant to which Amgen granted us an exclusive, worldwide license, with the right to sublicense (subject to certain conditions), under Amgens rights in specified patents relating to Amgens proprietary compound, AMG 986, a novel apelin J receptor agonist, to research, develop, and commercialize AMG 986 in all diagnostic, preventative or therapeutic uses. Amgen also granted us a non-exclusive, worldwide license, with the right to sublicense (subject to certain conditions), under Amgens rights in specified know-how relating to AMG 986, including research reports, clinical data, manufacturing processes, regulatory documents, and other information pertaining to AMG 986, to research, develop, and commercialize AMG 986 in all diagnostic, preventative or therapeutic uses. Although we maintain the exclusive rights described above with respect to the specified patents, Amgen retains research-only rights solely for Amgens internal research. All right, title and interest to inventions conceived or created by a party under the Amgen Agreement that are exclusively related to AMG 986 will be owned exclusively by us, regardless of inventorship. </w:t>
      </w:r>
    </w:p>
    <w:p>
      <w:pPr>
        <w:pStyle w:val="TextBody"/>
        <w:bidi w:val="0"/>
        <w:spacing w:before="240" w:after="0"/>
        <w:jc w:val="both"/>
        <w:rPr>
          <w:rFonts w:ascii="Times New Roman" w:hAnsi="Times New Roman"/>
          <w:sz w:val="20"/>
        </w:rPr>
      </w:pPr>
      <w:r>
        <w:rPr>
          <w:rFonts w:ascii="Times New Roman" w:hAnsi="Times New Roman"/>
          <w:sz w:val="20"/>
        </w:rPr>
        <w:t xml:space="preserve">Under the Amgen Agreement, we are obligated to use commercially reasonable efforts to develop and commercialize at least one licensed product in each of the United States, European Union, Japan and the rest of the world (ROW). If we fail to materially develop or commercialize such products for twelve months in the United States, European Union, Japan, or ROW, and such failure is not due to reasons out of our control, in addition to other available remedies, Amgen may terminate our agreement with respect to the failing region, subject to a cure period. </w:t>
      </w:r>
    </w:p>
    <w:p>
      <w:pPr>
        <w:pStyle w:val="TextBody"/>
        <w:bidi w:val="0"/>
        <w:spacing w:before="240" w:after="0"/>
        <w:jc w:val="both"/>
        <w:rPr>
          <w:rFonts w:ascii="Times New Roman" w:hAnsi="Times New Roman"/>
          <w:sz w:val="20"/>
        </w:rPr>
      </w:pPr>
      <w:r>
        <w:rPr>
          <w:rFonts w:ascii="Times New Roman" w:hAnsi="Times New Roman"/>
          <w:sz w:val="20"/>
        </w:rPr>
        <w:t xml:space="preserve">In consideration for the rights granted under the Amgen Agreement, we paid an upfront fee of $1.0 million and issued Amgen 846,152 shares of our Series C redeemable convertible preferred stock which will automatically convert into 189,609 shares of our common stock in connection with the completion of this offering. Additionally, we may also be required to pay up to an additional $120.0 million in the aggregate for future development, regulatory and commercial milestone payments, as well as tiered royalties at percentages ranging in the low- to upper-single digits on future net sales by us and our sublicensees of licensed products, if any. Royalties are paid on a product-by-product basis and commence with respect to a particular country upon the first commercial sale in such country and terminate in such country on the latest to occur of the date on which such product is no longer covered by a valid claim in such country, the loss of regulatory exclusivity for such product in such country, and for a specified time period after the first commercial sale of such product in such country. Such royalties may be decreased if, among other reasons, we are required to pay a third party for rights to intellectual property for the exploitation of a licensed product in a given country, but in no event be reduced in aggregate by a specified percentage. </w:t>
      </w:r>
    </w:p>
    <w:p>
      <w:pPr>
        <w:pStyle w:val="TextBody"/>
        <w:bidi w:val="0"/>
        <w:spacing w:before="240" w:after="0"/>
        <w:jc w:val="both"/>
        <w:rPr>
          <w:rFonts w:ascii="Times New Roman" w:hAnsi="Times New Roman"/>
          <w:sz w:val="20"/>
        </w:rPr>
      </w:pPr>
      <w:r>
        <w:rPr>
          <w:rFonts w:ascii="Times New Roman" w:hAnsi="Times New Roman"/>
          <w:sz w:val="20"/>
        </w:rPr>
        <w:t xml:space="preserve">The term of the Amgen Agreement will end on a licensed product-by-licensed product basis and country-by-country basis upon the expiration of our obligation to pay royalties to Amgen with respect to such licensed products in such countries. We may terminate the Amgen Agreement in its entirety for convenience upon a specified written notice period. Amgen has the right to terminate the agreement if we, or one of our affiliates or sublicensees, challenges the patentability, enforceability, or validity of a licensed patent, subject to a cure period. Additionally, either party will be able to terminate the Amgen Agreement for the other partys uncured material breach or bankruptcy. </w:t>
      </w:r>
    </w:p>
    <w:p>
      <w:pPr>
        <w:pStyle w:val="TextBody"/>
        <w:bidi w:val="0"/>
        <w:spacing w:before="240" w:after="0"/>
        <w:jc w:val="both"/>
        <w:rPr>
          <w:rFonts w:ascii="Times New Roman" w:hAnsi="Times New Roman"/>
          <w:sz w:val="20"/>
        </w:rPr>
      </w:pPr>
      <w:r>
        <w:rPr>
          <w:rFonts w:ascii="Times New Roman" w:hAnsi="Times New Roman"/>
          <w:sz w:val="20"/>
        </w:rPr>
        <w:t xml:space="preserve">For a more detailed description of this agreement, see the section titled BusinessMaterial Agreements and Note 9 to our audited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We have not generated any product revenue since our inception and do not expect to generate any revenue from the sale of products or from other sources in the near future, if at all. If our development efforts for our lead product candidate, azelaprag or additional product candidates that we may develop in the future are successful and result in marketing approval or if we enter into collaboration or license agreements with third parties, we may generate revenue in the future from a combination of product sales or payments from such collaboration or license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expenses account for a significant portion of our operating expenses and consist primarily of costs incurred in connection with the discovery, preclinical development, clinical development and manufacturing of azelaprag and potential future product candidates, and include: </w:t>
      </w:r>
    </w:p>
    <w:p>
      <w:pPr>
        <w:pStyle w:val="TextBody"/>
        <w:bidi w:val="0"/>
        <w:spacing w:before="360" w:after="0"/>
        <w:jc w:val="left"/>
        <w:rPr>
          <w:rFonts w:ascii="Times New Roman" w:hAnsi="Times New Roman"/>
          <w:b/>
          <w:sz w:val="20"/>
        </w:rPr>
      </w:pPr>
      <w:r>
        <w:rPr>
          <w:rFonts w:ascii="Times New Roman" w:hAnsi="Times New Roman"/>
          <w:b/>
          <w:sz w:val="20"/>
        </w:rPr>
        <w:t xml:space="preserve">Direct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expenses incurred under agreements with contract research organizations (CROs) that are primarily engaged in the oversight and conduct of our clinical trials; CDMOs that are primarily engaged to provide drug substance and product for our clinical trials, research and development programs, as well as investigative sites and consultants that conduct our clinical trials, preclinical studies and other scientific development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acquiring and manufacturing preclinical and clinical trial materials, including manufacturing registration and validation batches;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of outside consultants, including their fees and related travel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related to compliance with quality and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Indirect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personnel-related expenses including, salaries, bonuses, benefits, stock-based compensation expenses and other related costs for individuals involved in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allocated facilities and other expenses not directly tied to a program.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development activities are based on the terms of the individual agreements, which may differ from the pattern of costs incurred, and are reflected in our financial statements as prepaid expenses or accrued expenses. </w:t>
      </w:r>
    </w:p>
    <w:p>
      <w:pPr>
        <w:pStyle w:val="TextBody"/>
        <w:bidi w:val="0"/>
        <w:spacing w:before="240" w:after="0"/>
        <w:jc w:val="both"/>
        <w:rPr>
          <w:rFonts w:ascii="Times New Roman" w:hAnsi="Times New Roman"/>
          <w:sz w:val="20"/>
        </w:rPr>
      </w:pPr>
      <w:r>
        <w:rPr>
          <w:rFonts w:ascii="Times New Roman" w:hAnsi="Times New Roman"/>
          <w:sz w:val="20"/>
        </w:rPr>
        <w:t xml:space="preserve">A significant portion of our research and development costs to date have been third-party direct costs, which we track on an individual product candidate basis after a product candidate progresses to the clinic. However, our indirect costs are not directly tied to any one program and are deployed across our programs. As such, we do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track these costs on a specific program basis. We utilize third party contractors for our research and development activities and CDMOs for our manufacturing activities and we do not have our own manufacturing facilities. </w:t>
      </w:r>
    </w:p>
    <w:p>
      <w:pPr>
        <w:pStyle w:val="TextBody"/>
        <w:bidi w:val="0"/>
        <w:spacing w:before="240" w:after="0"/>
        <w:jc w:val="both"/>
        <w:rPr>
          <w:rFonts w:ascii="Times New Roman" w:hAnsi="Times New Roman"/>
          <w:sz w:val="20"/>
        </w:rPr>
      </w:pPr>
      <w:r>
        <w:rPr>
          <w:rFonts w:ascii="Times New Roman" w:hAnsi="Times New Roman"/>
          <w:sz w:val="20"/>
        </w:rPr>
        <w:t xml:space="preserve">Research and development activities are central to our business model. We expect that our research and development expenses will continue to increase substantially for the foreseeable future as we advance azelaprag into multiple Phase 2 clinical trials, the NLRP3 inhibitors that we are developing for the treatment of neuroinflammation toward the submission of an IND application (IND) and into a Phase 1 clinical trial, continue to discover and develop additional product candidates, expand our headcount and costs related to our existing and potential future intellectual property licenses. Later stages of clinical development generally have higher development costs than those in earlier stages of clinical development, primarily due to the increased size and duration of later-stage clinical trials. There are numerous factors associated with the successful development and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 </w:t>
      </w:r>
    </w:p>
    <w:p>
      <w:pPr>
        <w:pStyle w:val="TextBody"/>
        <w:bidi w:val="0"/>
        <w:spacing w:before="240" w:after="0"/>
        <w:jc w:val="both"/>
        <w:rPr>
          <w:rFonts w:ascii="Times New Roman" w:hAnsi="Times New Roman"/>
          <w:sz w:val="20"/>
        </w:rPr>
      </w:pPr>
      <w:r>
        <w:rPr>
          <w:rFonts w:ascii="Times New Roman" w:hAnsi="Times New Roman"/>
          <w:sz w:val="20"/>
        </w:rPr>
        <w:t xml:space="preserve">Our research and development expenses may vary significantly in the future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the number and scope of preclinical and IND-enabling studies;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 patient trial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patients that participate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the duration of patient participation in the trials and follow-up;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and timing of manufacturing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phase of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efficacy and safety profile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we establish additional collaboration or license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whether we choose to partner any of our product candidates and the terms of such partnership.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changes in the outcome of any of these variables with respect to the development of azelaprag or any future product candidates in preclinical and clinical development could mean a significant change in the costs and timing associated with the development of these product candidates. For example, if the U.S. Food and Drug Administration, European Medicines Agency or another regulatory authority were to delay our planned start of clinical trials or require us to conduct clinical trials or other testing beyond those that we currently expect, or if we experience significant delays in enrollment in any clinical trials following the applicable regulatory authoritys acceptance and clearance, we could be required to expend significant additional financial resources and time to complete clinical development than we currently expect. We may never obtain regulatory approval for any product candidates that we develop. </w:t>
      </w:r>
    </w:p>
    <w:p>
      <w:pPr>
        <w:pStyle w:val="TextBody"/>
        <w:bidi w:val="0"/>
        <w:spacing w:before="240" w:after="0"/>
        <w:jc w:val="both"/>
        <w:rPr>
          <w:rFonts w:ascii="Times New Roman" w:hAnsi="Times New Roman"/>
          <w:sz w:val="20"/>
        </w:rPr>
      </w:pPr>
      <w:r>
        <w:rPr>
          <w:rFonts w:ascii="Times New Roman" w:hAnsi="Times New Roman"/>
          <w:sz w:val="20"/>
        </w:rPr>
        <w:t xml:space="preserve">The successful development of azelaprag or any product candidates we may develop in the future is highly uncertain. Therefore, we cannot reasonably estimate or know the nature, timing and estimated costs of the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that will be necessary to complete the development and commercialization of azelaprag and any other product candidates we may develop. We are also unable to predict when, if ever, material net cash inflows will commence from the sale of azelaprag or any future product candidate, if approved. This is due to the numerous risks and uncertainties associated with product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consist primarily of personnel-related expenses, including salaries, bonuses benefits and stock-based compensation expenses for individuals in executive, finance, corporate, business development and administrative functions. Other significant general and administrative expenses include legal fees relating to patent, intellectual property and corporate matters, and fees paid for accounting, consulting and other professional services, and allocated expenses for rent, insurance and other operating costs.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our general and administrative expenses will continue to increase in the foreseeable future as our business expands to support our continued research and development activities, including any future clinical trials. These increases will likely include increased costs related to the hiring of additional personnel and fees to outside consultants, among other expenses. We also anticipate increased expenses associated with being a public company, including costs for audit, legal, regulatory and tax-related services related to compliance with the rules and regulations of the SEC, listing standards applicable to companies listed on a national securities exchange, director and officer insurance premiums and investor relations costs. In addition, if we obtain regulatory approval for our current product candidate or any product candidates we may develop in the future and do not enter into a third-party commercialization collaboration, we expect to incur significant expenses related to building a sales and marketing team to support product sales, marketing and distribution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both"/>
        <w:rPr>
          <w:rFonts w:ascii="Times New Roman" w:hAnsi="Times New Roman"/>
          <w:sz w:val="20"/>
        </w:rPr>
      </w:pPr>
      <w:r>
        <w:rPr>
          <w:rFonts w:ascii="Times New Roman" w:hAnsi="Times New Roman"/>
          <w:sz w:val="20"/>
        </w:rPr>
        <w:t xml:space="preserve">Interest expense consists of interest incurred on both our convertible promissory notes and term loan.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and Other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and other income primarily consist of interest income generated from interest bearing cash accounts. </w:t>
      </w:r>
    </w:p>
    <w:p>
      <w:pPr>
        <w:pStyle w:val="TextBody"/>
        <w:bidi w:val="0"/>
        <w:spacing w:before="360" w:after="0"/>
        <w:jc w:val="left"/>
        <w:rPr>
          <w:rFonts w:ascii="Times New Roman" w:hAnsi="Times New Roman"/>
          <w:i/>
          <w:sz w:val="20"/>
        </w:rPr>
      </w:pPr>
      <w:r>
        <w:rPr>
          <w:rFonts w:ascii="Times New Roman" w:hAnsi="Times New Roman"/>
          <w:i/>
          <w:sz w:val="20"/>
        </w:rPr>
        <w:t xml:space="preserve">Gain (Loss) from Changes in Fair Value of Warrants and Derivative Liabilities </w:t>
      </w:r>
    </w:p>
    <w:p>
      <w:pPr>
        <w:pStyle w:val="TextBody"/>
        <w:bidi w:val="0"/>
        <w:spacing w:before="120" w:after="0"/>
        <w:jc w:val="both"/>
        <w:rPr>
          <w:rFonts w:ascii="Times New Roman" w:hAnsi="Times New Roman"/>
          <w:sz w:val="20"/>
        </w:rPr>
      </w:pPr>
      <w:r>
        <w:rPr>
          <w:rFonts w:ascii="Times New Roman" w:hAnsi="Times New Roman"/>
          <w:sz w:val="20"/>
        </w:rPr>
        <w:t xml:space="preserve">Gain (loss) on changes in fair value consists of assessed changes in fair value of liabilities carried at fair value, including warrants to purchase our common stock and the embedded derivative liability associated with our convertible promissory notes. </w:t>
      </w:r>
    </w:p>
    <w:p>
      <w:pPr>
        <w:pStyle w:val="TextBody"/>
        <w:bidi w:val="0"/>
        <w:spacing w:before="360" w:after="0"/>
        <w:jc w:val="left"/>
        <w:rPr>
          <w:rFonts w:ascii="Times New Roman" w:hAnsi="Times New Roman"/>
          <w:i/>
          <w:sz w:val="20"/>
        </w:rPr>
      </w:pPr>
      <w:r>
        <w:rPr>
          <w:rFonts w:ascii="Times New Roman" w:hAnsi="Times New Roman"/>
          <w:i/>
          <w:sz w:val="20"/>
        </w:rPr>
        <w:t xml:space="preserve">Loss on Extinguishment of Convertible Promissory Notes </w:t>
      </w:r>
    </w:p>
    <w:p>
      <w:pPr>
        <w:pStyle w:val="TextBody"/>
        <w:bidi w:val="0"/>
        <w:spacing w:before="120" w:after="0"/>
        <w:jc w:val="both"/>
        <w:rPr>
          <w:rFonts w:ascii="Times New Roman" w:hAnsi="Times New Roman"/>
          <w:sz w:val="20"/>
        </w:rPr>
      </w:pPr>
      <w:r>
        <w:rPr>
          <w:rFonts w:ascii="Times New Roman" w:hAnsi="Times New Roman"/>
          <w:sz w:val="20"/>
        </w:rPr>
        <w:t xml:space="preserve">Loss on extinguishment of convertible promissory notes consists of the difference between the carrying value of our convertible promissory notes (including accrued interest) and related embedded derivative liability and the fair value of shares issued upon conversion of our convertible promissory notes into our Series D-1 Redeemable Convertible Preferred Stock in February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Since our inception, we have not recorded any income tax benefits for the net losses we have incurred in each period or for our research and development tax credits, as we believe, based upon the weight of available evidence, that it is more likely than not that all of our net operating loss carryforwards and tax credits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realized. As of December 31, 2023, we had U.S. federal and state net operating loss carryforwards of $83.8 million and $13.4 million, respectively, which expire at various dates beginning in 2035. These attributes may be subject to Section 382 limitation and we have not performed a formal assessment. As of the six months ended June 30, 2024 and 2023, and the years ended December 31, 2023 and 2022, we have recorded a full valuation allowance against our deferred tax assets.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Six Months Ended June 30, 2024 and 2023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each of the periods presented (in thousands,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46"/>
        <w:gridCol w:w="254"/>
        <w:gridCol w:w="140"/>
        <w:gridCol w:w="797"/>
        <w:gridCol w:w="155"/>
        <w:gridCol w:w="203"/>
        <w:gridCol w:w="140"/>
        <w:gridCol w:w="797"/>
        <w:gridCol w:w="155"/>
        <w:gridCol w:w="203"/>
        <w:gridCol w:w="179"/>
        <w:gridCol w:w="849"/>
        <w:gridCol w:w="155"/>
        <w:gridCol w:w="203"/>
        <w:gridCol w:w="129"/>
        <w:gridCol w:w="1046"/>
        <w:gridCol w:w="354"/>
      </w:tblGrid>
      <w:tr>
        <w:trPr/>
        <w:tc>
          <w:tcPr>
            <w:tcW w:w="4446"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232"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4"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2232"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7" w:type="dxa"/>
            <w:tcBorders/>
            <w:vAlign w:val="bottom"/>
          </w:tcPr>
          <w:p>
            <w:pPr>
              <w:pStyle w:val="TableContents"/>
              <w:bidi w:val="0"/>
              <w:spacing w:before="0" w:after="283"/>
              <w:jc w:val="right"/>
              <w:rPr/>
            </w:pPr>
            <w:r>
              <w:rPr/>
              <w:t>19,792</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7" w:type="dxa"/>
            <w:tcBorders/>
            <w:vAlign w:val="bottom"/>
          </w:tcPr>
          <w:p>
            <w:pPr>
              <w:pStyle w:val="TableContents"/>
              <w:bidi w:val="0"/>
              <w:spacing w:before="0" w:after="283"/>
              <w:jc w:val="right"/>
              <w:rPr/>
            </w:pPr>
            <w:r>
              <w:rPr/>
              <w:t>17,272</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2,520</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15</w:t>
            </w:r>
          </w:p>
        </w:tc>
        <w:tc>
          <w:tcPr>
            <w:tcW w:w="354"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8,290</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7,645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645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8</w:t>
            </w:r>
          </w:p>
        </w:tc>
        <w:tc>
          <w:tcPr>
            <w:tcW w:w="354" w:type="dxa"/>
            <w:tcBorders/>
            <w:shd w:fill="CCEEFF" w:val="clear"/>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28,082</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24,917</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3,165</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13</w:t>
            </w:r>
          </w:p>
        </w:tc>
        <w:tc>
          <w:tcPr>
            <w:tcW w:w="354"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7" w:type="dxa"/>
            <w:tcBorders/>
            <w:shd w:fill="CCEEFF" w:val="clear"/>
            <w:vAlign w:val="bottom"/>
          </w:tcPr>
          <w:p>
            <w:pPr>
              <w:pStyle w:val="TableContents"/>
              <w:bidi w:val="0"/>
              <w:spacing w:before="0" w:after="283"/>
              <w:jc w:val="right"/>
              <w:rPr/>
            </w:pPr>
            <w:r>
              <w:rPr/>
              <w:t>(28,082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7" w:type="dxa"/>
            <w:tcBorders/>
            <w:shd w:fill="CCEEFF" w:val="clear"/>
            <w:vAlign w:val="bottom"/>
          </w:tcPr>
          <w:p>
            <w:pPr>
              <w:pStyle w:val="TableContents"/>
              <w:bidi w:val="0"/>
              <w:spacing w:before="0" w:after="283"/>
              <w:jc w:val="right"/>
              <w:rPr/>
            </w:pPr>
            <w:r>
              <w:rPr/>
              <w:t>(24,917</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(3,165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13</w:t>
            </w:r>
          </w:p>
        </w:tc>
        <w:tc>
          <w:tcPr>
            <w:tcW w:w="354"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8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(1,660</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(2,832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1,172</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(41</w:t>
            </w:r>
          </w:p>
        </w:tc>
        <w:tc>
          <w:tcPr>
            <w:tcW w:w="354"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3,497</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1,553</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1,944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125</w:t>
            </w:r>
          </w:p>
        </w:tc>
        <w:tc>
          <w:tcPr>
            <w:tcW w:w="354"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changes in fair value on derivative liability and warrants</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(2,075</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1,997</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(96</w:t>
            </w:r>
          </w:p>
        </w:tc>
        <w:tc>
          <w:tcPr>
            <w:tcW w:w="354" w:type="dxa"/>
            <w:tcBorders/>
            <w:shd w:fill="CCEEFF" w:val="clear"/>
            <w:vAlign w:val="bottom"/>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promissory notes</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(100</w:t>
            </w:r>
          </w:p>
        </w:tc>
        <w:tc>
          <w:tcPr>
            <w:tcW w:w="354"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1,509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(3,354</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4,863</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(145</w:t>
            </w:r>
          </w:p>
        </w:tc>
        <w:tc>
          <w:tcPr>
            <w:tcW w:w="354" w:type="dxa"/>
            <w:tcBorders/>
            <w:shd w:fill="CCEEFF" w:val="clear"/>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7" w:type="dxa"/>
            <w:tcBorders/>
            <w:vAlign w:val="bottom"/>
          </w:tcPr>
          <w:p>
            <w:pPr>
              <w:pStyle w:val="TableContents"/>
              <w:bidi w:val="0"/>
              <w:spacing w:before="0" w:after="283"/>
              <w:jc w:val="right"/>
              <w:rPr/>
            </w:pPr>
            <w:r>
              <w:rPr/>
              <w:t>(26,573</w:t>
            </w:r>
          </w:p>
        </w:tc>
        <w:tc>
          <w:tcPr>
            <w:tcW w:w="155" w:type="dxa"/>
            <w:tcBorders/>
            <w:vAlign w:val="bottom"/>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7" w:type="dxa"/>
            <w:tcBorders/>
            <w:vAlign w:val="bottom"/>
          </w:tcPr>
          <w:p>
            <w:pPr>
              <w:pStyle w:val="TableContents"/>
              <w:bidi w:val="0"/>
              <w:spacing w:before="0" w:after="283"/>
              <w:jc w:val="right"/>
              <w:rPr/>
            </w:pPr>
            <w:r>
              <w:rPr/>
              <w:t>(28,271</w:t>
            </w:r>
          </w:p>
        </w:tc>
        <w:tc>
          <w:tcPr>
            <w:tcW w:w="155" w:type="dxa"/>
            <w:tcBorders/>
            <w:vAlign w:val="bottom"/>
          </w:tcPr>
          <w:p>
            <w:pPr>
              <w:pStyle w:val="TableContents"/>
              <w:bidi w:val="0"/>
              <w:spacing w:before="0" w:after="283"/>
              <w:jc w:val="left"/>
              <w:rPr/>
            </w:pPr>
            <w:r>
              <w:rPr/>
              <w:t>)</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1,698</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research and development expenses for each of the periods presented (in thousands,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8"/>
        <w:gridCol w:w="228"/>
        <w:gridCol w:w="140"/>
        <w:gridCol w:w="1238"/>
        <w:gridCol w:w="60"/>
        <w:gridCol w:w="228"/>
        <w:gridCol w:w="140"/>
        <w:gridCol w:w="1238"/>
        <w:gridCol w:w="60"/>
        <w:gridCol w:w="228"/>
        <w:gridCol w:w="140"/>
        <w:gridCol w:w="1094"/>
        <w:gridCol w:w="155"/>
        <w:gridCol w:w="177"/>
        <w:gridCol w:w="152"/>
        <w:gridCol w:w="1028"/>
        <w:gridCol w:w="281"/>
      </w:tblGrid>
      <w:tr>
        <w:trPr/>
        <w:tc>
          <w:tcPr>
            <w:tcW w:w="361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61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44"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361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1" w:type="dxa"/>
            <w:tcBorders/>
            <w:vAlign w:val="bottom"/>
          </w:tcPr>
          <w:p>
            <w:pPr>
              <w:pStyle w:val="TableContents"/>
              <w:bidi w:val="0"/>
              <w:spacing w:before="0" w:after="283"/>
              <w:jc w:val="left"/>
              <w:rPr/>
            </w:pPr>
            <w:r>
              <w:rPr/>
              <w:t> </w:t>
            </w:r>
          </w:p>
        </w:tc>
      </w:tr>
      <w:tr>
        <w:trPr/>
        <w:tc>
          <w:tcPr>
            <w:tcW w:w="361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44"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3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costs: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618" w:type="dxa"/>
            <w:tcBorders/>
          </w:tcPr>
          <w:p>
            <w:pPr>
              <w:pStyle w:val="TableContents"/>
              <w:bidi w:val="0"/>
              <w:spacing w:before="0" w:after="0"/>
              <w:jc w:val="left"/>
              <w:rPr>
                <w:rFonts w:ascii="Times New Roman" w:hAnsi="Times New Roman"/>
                <w:sz w:val="20"/>
              </w:rPr>
            </w:pPr>
            <w:r>
              <w:rPr>
                <w:rFonts w:ascii="Times New Roman" w:hAnsi="Times New Roman"/>
                <w:sz w:val="20"/>
              </w:rPr>
              <w:t>azelaprag</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7,215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2,632</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4,583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174</w:t>
            </w:r>
          </w:p>
        </w:tc>
        <w:tc>
          <w:tcPr>
            <w:tcW w:w="281" w:type="dxa"/>
            <w:tcBorders/>
            <w:vAlign w:val="bottom"/>
          </w:tcPr>
          <w:p>
            <w:pPr>
              <w:pStyle w:val="TableContents"/>
              <w:bidi w:val="0"/>
              <w:spacing w:before="0" w:after="283"/>
              <w:jc w:val="left"/>
              <w:rPr/>
            </w:pPr>
            <w:r>
              <w:rPr/>
              <w:t>% </w:t>
            </w:r>
          </w:p>
        </w:tc>
      </w:tr>
      <w:tr>
        <w:trPr/>
        <w:tc>
          <w:tcPr>
            <w:tcW w:w="3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programs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2,078</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4,939</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(2,861</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(58</w:t>
            </w:r>
          </w:p>
        </w:tc>
        <w:tc>
          <w:tcPr>
            <w:tcW w:w="281" w:type="dxa"/>
            <w:tcBorders/>
            <w:shd w:fill="CCEEFF" w:val="clear"/>
            <w:vAlign w:val="bottom"/>
          </w:tcPr>
          <w:p>
            <w:pPr>
              <w:pStyle w:val="TableContents"/>
              <w:bidi w:val="0"/>
              <w:spacing w:before="0" w:after="283"/>
              <w:jc w:val="left"/>
              <w:rPr/>
            </w:pPr>
            <w:r>
              <w:rPr/>
              <w:t>) </w:t>
            </w:r>
          </w:p>
        </w:tc>
      </w:tr>
      <w:tr>
        <w:trPr/>
        <w:tc>
          <w:tcPr>
            <w:tcW w:w="3618" w:type="dxa"/>
            <w:tcBorders/>
          </w:tcPr>
          <w:p>
            <w:pPr>
              <w:pStyle w:val="TableContents"/>
              <w:bidi w:val="0"/>
              <w:spacing w:before="0" w:after="0"/>
              <w:jc w:val="left"/>
              <w:rPr>
                <w:rFonts w:ascii="Times New Roman" w:hAnsi="Times New Roman"/>
                <w:sz w:val="20"/>
              </w:rPr>
            </w:pPr>
            <w:r>
              <w:rPr>
                <w:rFonts w:ascii="Times New Roman" w:hAnsi="Times New Roman"/>
                <w:sz w:val="20"/>
              </w:rPr>
              <w:t>Indirect costs: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expenses (including stock-based compensation expense)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7,690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6,665</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1,025</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w:t>
            </w:r>
          </w:p>
        </w:tc>
        <w:tc>
          <w:tcPr>
            <w:tcW w:w="281" w:type="dxa"/>
            <w:tcBorders/>
            <w:shd w:fill="CCEEFF" w:val="clear"/>
            <w:vAlign w:val="bottom"/>
          </w:tcPr>
          <w:p>
            <w:pPr>
              <w:pStyle w:val="TableContents"/>
              <w:bidi w:val="0"/>
              <w:spacing w:before="0" w:after="283"/>
              <w:jc w:val="left"/>
              <w:rPr/>
            </w:pPr>
            <w:r>
              <w:rPr/>
              <w:t> </w:t>
            </w:r>
          </w:p>
        </w:tc>
      </w:tr>
      <w:tr>
        <w:trPr/>
        <w:tc>
          <w:tcPr>
            <w:tcW w:w="3618" w:type="dxa"/>
            <w:tcBorders/>
          </w:tcPr>
          <w:p>
            <w:pPr>
              <w:pStyle w:val="TableContents"/>
              <w:bidi w:val="0"/>
              <w:spacing w:before="0" w:after="0"/>
              <w:jc w:val="left"/>
              <w:rPr>
                <w:rFonts w:ascii="Times New Roman" w:hAnsi="Times New Roman"/>
                <w:sz w:val="20"/>
              </w:rPr>
            </w:pPr>
            <w:r>
              <w:rPr>
                <w:rFonts w:ascii="Times New Roman" w:hAnsi="Times New Roman"/>
                <w:sz w:val="20"/>
              </w:rPr>
              <w:t>Allocated facility and other 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2,809</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3,036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(7</w:t>
            </w:r>
          </w:p>
        </w:tc>
        <w:tc>
          <w:tcPr>
            <w:tcW w:w="281" w:type="dxa"/>
            <w:tcBorders/>
            <w:vAlign w:val="bottom"/>
          </w:tcPr>
          <w:p>
            <w:pPr>
              <w:pStyle w:val="TableContents"/>
              <w:bidi w:val="0"/>
              <w:spacing w:before="0" w:after="283"/>
              <w:jc w:val="left"/>
              <w:rPr/>
            </w:pPr>
            <w:r>
              <w:rPr/>
              <w:t>) </w:t>
            </w:r>
          </w:p>
        </w:tc>
      </w:tr>
      <w:tr>
        <w:trPr/>
        <w:tc>
          <w:tcPr>
            <w:tcW w:w="361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  </w:t>
            </w:r>
            <w:r>
              <w:rPr/>
              <w:t>19,792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  </w:t>
            </w:r>
            <w:r>
              <w:rPr/>
              <w:t>17,272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r>
              <w:rPr/>
              <w:t>2,520</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w:t>
            </w:r>
          </w:p>
        </w:tc>
        <w:tc>
          <w:tcPr>
            <w:tcW w:w="281" w:type="dxa"/>
            <w:tcBorders/>
            <w:shd w:fill="CCEEFF" w:val="clear"/>
            <w:vAlign w:val="bottom"/>
          </w:tcPr>
          <w:p>
            <w:pPr>
              <w:pStyle w:val="TableContents"/>
              <w:bidi w:val="0"/>
              <w:spacing w:before="0" w:after="283"/>
              <w:jc w:val="left"/>
              <w:rPr/>
            </w:pPr>
            <w:r>
              <w:rPr/>
              <w:t>% </w:t>
            </w:r>
          </w:p>
        </w:tc>
      </w:tr>
      <w:tr>
        <w:trPr/>
        <w:tc>
          <w:tcPr>
            <w:tcW w:w="361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Research and development expenses increased by $2.5 million from $17.3 million for the six months ended June 30, 2023 to $19.8 million for the six months ended June 30, 2024. The increase was primarily attributable to a $4.6 million increase in costs related to the clinical development of azelaprag as it progressed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toward Phase 2 trials in combination with a GLP-1R agonist and a $1.0 million increase in personnel-related expenses (including stock-based compensation expense) primarily due to increased salaries and related expenses; a $2.9 million decrease in direct costs related to other programs, as we have focused our development spend primarily on azelaprag and a $0.2 million decrease in allocated facility and other expenses primarily related to lab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increased by $0.7 million from $7.6 million for the six months ended June 30, 2023 to $8.3 million for the six months ended June 30, 2024. The increase was primarily attributable to an increase in stock-based compensation expense associated with option grants issued in April 2024 to employees and executives.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both"/>
        <w:rPr>
          <w:rFonts w:ascii="Times New Roman" w:hAnsi="Times New Roman"/>
          <w:sz w:val="20"/>
        </w:rPr>
      </w:pPr>
      <w:r>
        <w:rPr>
          <w:rFonts w:ascii="Times New Roman" w:hAnsi="Times New Roman"/>
          <w:sz w:val="20"/>
        </w:rPr>
        <w:t xml:space="preserve">Other income, net increased by approximately $4.9 million from $3.4 million of other expense for the six months ended June 30, 2023 to $1.5 million of other income for the six months ended June 30, 2024. This increase in other income was primarily attributable to a $1.9 million increase in interest income driven by our higher cash and cash equivalents balance, a $2.0 million decrease in losses from changes in fair value primarily related to the embedded derivative liability associated with our convertible promissory notes as these notes converted into Series D-1 redeemable convertible preferred stock in February 2024, and a $1.2 million decrease in interest expense as our convertible promissory notes converted into Series D-1 redeemable convertible preferred stock in February 2024. These increases were partially offset by a $0.3 million loss on extinguishment of convertible promissory notes associated with conversion of the convertible promissory notes into Series D-1 redeemable convertible preferred stock in February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Years Ended December 31, 2023 and 2022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results of operations for each of the periods presented (in thousands,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24"/>
        <w:gridCol w:w="250"/>
        <w:gridCol w:w="140"/>
        <w:gridCol w:w="1007"/>
        <w:gridCol w:w="155"/>
        <w:gridCol w:w="201"/>
        <w:gridCol w:w="140"/>
        <w:gridCol w:w="1007"/>
        <w:gridCol w:w="155"/>
        <w:gridCol w:w="201"/>
        <w:gridCol w:w="148"/>
        <w:gridCol w:w="896"/>
        <w:gridCol w:w="154"/>
        <w:gridCol w:w="201"/>
        <w:gridCol w:w="152"/>
        <w:gridCol w:w="991"/>
        <w:gridCol w:w="283"/>
      </w:tblGrid>
      <w:tr>
        <w:trPr/>
        <w:tc>
          <w:tcPr>
            <w:tcW w:w="412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12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6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44"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43"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412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3" w:type="dxa"/>
            <w:tcBorders/>
            <w:vAlign w:val="bottom"/>
          </w:tcPr>
          <w:p>
            <w:pPr>
              <w:pStyle w:val="TableContents"/>
              <w:bidi w:val="0"/>
              <w:spacing w:before="0" w:after="283"/>
              <w:jc w:val="left"/>
              <w:rPr/>
            </w:pPr>
            <w:r>
              <w:rPr/>
              <w:t> </w:t>
            </w:r>
          </w:p>
        </w:tc>
      </w:tr>
      <w:tr>
        <w:trPr/>
        <w:tc>
          <w:tcPr>
            <w:tcW w:w="4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124"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 </w:t>
            </w:r>
            <w:r>
              <w:rPr/>
              <w:t>33,886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 </w:t>
            </w:r>
            <w:r>
              <w:rPr/>
              <w:t>30,522</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 </w:t>
            </w:r>
            <w:r>
              <w:rPr/>
              <w:t>3,364</w:t>
            </w:r>
          </w:p>
        </w:tc>
        <w:tc>
          <w:tcPr>
            <w:tcW w:w="1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11</w:t>
            </w:r>
          </w:p>
        </w:tc>
        <w:tc>
          <w:tcPr>
            <w:tcW w:w="283" w:type="dxa"/>
            <w:tcBorders/>
            <w:vAlign w:val="bottom"/>
          </w:tcPr>
          <w:p>
            <w:pPr>
              <w:pStyle w:val="TableContents"/>
              <w:bidi w:val="0"/>
              <w:spacing w:before="0" w:after="283"/>
              <w:jc w:val="left"/>
              <w:rPr/>
            </w:pPr>
            <w:r>
              <w:rPr/>
              <w:t>% </w:t>
            </w:r>
          </w:p>
        </w:tc>
      </w:tr>
      <w:tr>
        <w:trPr/>
        <w:tc>
          <w:tcPr>
            <w:tcW w:w="4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14,514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9,447</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5,067</w:t>
            </w:r>
          </w:p>
        </w:tc>
        <w:tc>
          <w:tcPr>
            <w:tcW w:w="1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54</w:t>
            </w:r>
          </w:p>
        </w:tc>
        <w:tc>
          <w:tcPr>
            <w:tcW w:w="283" w:type="dxa"/>
            <w:tcBorders/>
            <w:shd w:fill="CCEEFF" w:val="clear"/>
            <w:vAlign w:val="bottom"/>
          </w:tcPr>
          <w:p>
            <w:pPr>
              <w:pStyle w:val="TableContents"/>
              <w:bidi w:val="0"/>
              <w:spacing w:before="0" w:after="283"/>
              <w:jc w:val="left"/>
              <w:rPr/>
            </w:pPr>
            <w:r>
              <w:rPr/>
              <w:t> </w:t>
            </w:r>
          </w:p>
        </w:tc>
      </w:tr>
      <w:tr>
        <w:trPr/>
        <w:tc>
          <w:tcPr>
            <w:tcW w:w="412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12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48,400</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39,969</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8,431</w:t>
            </w:r>
          </w:p>
        </w:tc>
        <w:tc>
          <w:tcPr>
            <w:tcW w:w="1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21</w:t>
            </w:r>
          </w:p>
        </w:tc>
        <w:tc>
          <w:tcPr>
            <w:tcW w:w="283" w:type="dxa"/>
            <w:tcBorders/>
            <w:vAlign w:val="bottom"/>
          </w:tcPr>
          <w:p>
            <w:pPr>
              <w:pStyle w:val="TableContents"/>
              <w:bidi w:val="0"/>
              <w:spacing w:before="0" w:after="283"/>
              <w:jc w:val="left"/>
              <w:rPr/>
            </w:pPr>
            <w:r>
              <w:rPr/>
              <w:t> </w:t>
            </w:r>
          </w:p>
        </w:tc>
      </w:tr>
      <w:tr>
        <w:trPr/>
        <w:tc>
          <w:tcPr>
            <w:tcW w:w="412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(48,400</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(39,969</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(8,431</w:t>
            </w:r>
          </w:p>
        </w:tc>
        <w:tc>
          <w:tcPr>
            <w:tcW w:w="1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21</w:t>
            </w:r>
          </w:p>
        </w:tc>
        <w:tc>
          <w:tcPr>
            <w:tcW w:w="283" w:type="dxa"/>
            <w:tcBorders/>
            <w:shd w:fill="CCEEFF" w:val="clear"/>
            <w:vAlign w:val="bottom"/>
          </w:tcPr>
          <w:p>
            <w:pPr>
              <w:pStyle w:val="TableContents"/>
              <w:bidi w:val="0"/>
              <w:spacing w:before="0" w:after="283"/>
              <w:jc w:val="left"/>
              <w:rPr/>
            </w:pPr>
            <w:r>
              <w:rPr/>
              <w:t> </w:t>
            </w:r>
          </w:p>
        </w:tc>
      </w:tr>
      <w:tr>
        <w:trPr/>
        <w:tc>
          <w:tcPr>
            <w:tcW w:w="412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9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4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(7,794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(241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(7,553</w:t>
            </w:r>
          </w:p>
        </w:tc>
        <w:tc>
          <w:tcPr>
            <w:tcW w:w="1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N/A</w:t>
            </w:r>
          </w:p>
        </w:tc>
        <w:tc>
          <w:tcPr>
            <w:tcW w:w="283" w:type="dxa"/>
            <w:tcBorders/>
            <w:shd w:fill="CCEEFF" w:val="clear"/>
            <w:vAlign w:val="bottom"/>
          </w:tcPr>
          <w:p>
            <w:pPr>
              <w:pStyle w:val="TableContents"/>
              <w:bidi w:val="0"/>
              <w:spacing w:before="0" w:after="283"/>
              <w:jc w:val="left"/>
              <w:rPr/>
            </w:pPr>
            <w:r>
              <w:rPr/>
              <w:t> </w:t>
            </w:r>
          </w:p>
        </w:tc>
      </w:tr>
      <w:tr>
        <w:trPr/>
        <w:tc>
          <w:tcPr>
            <w:tcW w:w="4124"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2,431</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465</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1,966</w:t>
            </w:r>
          </w:p>
        </w:tc>
        <w:tc>
          <w:tcPr>
            <w:tcW w:w="1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423</w:t>
            </w:r>
          </w:p>
        </w:tc>
        <w:tc>
          <w:tcPr>
            <w:tcW w:w="283" w:type="dxa"/>
            <w:tcBorders/>
            <w:vAlign w:val="bottom"/>
          </w:tcPr>
          <w:p>
            <w:pPr>
              <w:pStyle w:val="TableContents"/>
              <w:bidi w:val="0"/>
              <w:spacing w:before="0" w:after="283"/>
              <w:jc w:val="left"/>
              <w:rPr/>
            </w:pPr>
            <w:r>
              <w:rPr/>
              <w:t> </w:t>
            </w:r>
          </w:p>
        </w:tc>
      </w:tr>
      <w:tr>
        <w:trPr/>
        <w:tc>
          <w:tcPr>
            <w:tcW w:w="4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changes in fair value on derivative liability and warrants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(10,091</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(10,114</w:t>
            </w:r>
          </w:p>
        </w:tc>
        <w:tc>
          <w:tcPr>
            <w:tcW w:w="1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N/A</w:t>
            </w:r>
          </w:p>
        </w:tc>
        <w:tc>
          <w:tcPr>
            <w:tcW w:w="283" w:type="dxa"/>
            <w:tcBorders/>
            <w:shd w:fill="CCEEFF" w:val="clear"/>
            <w:vAlign w:val="bottom"/>
          </w:tcPr>
          <w:p>
            <w:pPr>
              <w:pStyle w:val="TableContents"/>
              <w:bidi w:val="0"/>
              <w:spacing w:before="0" w:after="283"/>
              <w:jc w:val="left"/>
              <w:rPr/>
            </w:pPr>
            <w:r>
              <w:rPr/>
              <w:t> </w:t>
            </w:r>
          </w:p>
        </w:tc>
      </w:tr>
      <w:tr>
        <w:trPr/>
        <w:tc>
          <w:tcPr>
            <w:tcW w:w="412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12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(15,454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247</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(15,701</w:t>
            </w:r>
          </w:p>
        </w:tc>
        <w:tc>
          <w:tcPr>
            <w:tcW w:w="1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N/A</w:t>
            </w:r>
          </w:p>
        </w:tc>
        <w:tc>
          <w:tcPr>
            <w:tcW w:w="283" w:type="dxa"/>
            <w:tcBorders/>
            <w:vAlign w:val="bottom"/>
          </w:tcPr>
          <w:p>
            <w:pPr>
              <w:pStyle w:val="TableContents"/>
              <w:bidi w:val="0"/>
              <w:spacing w:before="0" w:after="283"/>
              <w:jc w:val="left"/>
              <w:rPr/>
            </w:pPr>
            <w:r>
              <w:rPr/>
              <w:t> </w:t>
            </w:r>
          </w:p>
        </w:tc>
      </w:tr>
      <w:tr>
        <w:trPr/>
        <w:tc>
          <w:tcPr>
            <w:tcW w:w="412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1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(63,854</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(39,722</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(24,132</w:t>
            </w:r>
          </w:p>
        </w:tc>
        <w:tc>
          <w:tcPr>
            <w:tcW w:w="1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61</w:t>
            </w:r>
          </w:p>
        </w:tc>
        <w:tc>
          <w:tcPr>
            <w:tcW w:w="283" w:type="dxa"/>
            <w:tcBorders/>
            <w:shd w:fill="CCEEFF" w:val="clear"/>
            <w:vAlign w:val="bottom"/>
          </w:tcPr>
          <w:p>
            <w:pPr>
              <w:pStyle w:val="TableContents"/>
              <w:bidi w:val="0"/>
              <w:spacing w:before="0" w:after="283"/>
              <w:jc w:val="left"/>
              <w:rPr/>
            </w:pPr>
            <w:r>
              <w:rPr/>
              <w:t>% </w:t>
            </w:r>
          </w:p>
        </w:tc>
      </w:tr>
      <w:tr>
        <w:trPr/>
        <w:tc>
          <w:tcPr>
            <w:tcW w:w="412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research and development expenses for each of the periods presented (in thousands,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6"/>
        <w:gridCol w:w="228"/>
        <w:gridCol w:w="140"/>
        <w:gridCol w:w="1238"/>
        <w:gridCol w:w="60"/>
        <w:gridCol w:w="228"/>
        <w:gridCol w:w="140"/>
        <w:gridCol w:w="1238"/>
        <w:gridCol w:w="60"/>
        <w:gridCol w:w="228"/>
        <w:gridCol w:w="140"/>
        <w:gridCol w:w="1094"/>
        <w:gridCol w:w="155"/>
        <w:gridCol w:w="177"/>
        <w:gridCol w:w="169"/>
        <w:gridCol w:w="1014"/>
        <w:gridCol w:w="280"/>
      </w:tblGrid>
      <w:tr>
        <w:trPr/>
        <w:tc>
          <w:tcPr>
            <w:tcW w:w="3616"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83"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r>
      <w:tr>
        <w:trPr/>
        <w:tc>
          <w:tcPr>
            <w:tcW w:w="361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0" w:type="dxa"/>
            <w:tcBorders/>
            <w:vAlign w:val="bottom"/>
          </w:tcPr>
          <w:p>
            <w:pPr>
              <w:pStyle w:val="TableContents"/>
              <w:bidi w:val="0"/>
              <w:spacing w:before="0" w:after="283"/>
              <w:jc w:val="left"/>
              <w:rPr/>
            </w:pPr>
            <w:r>
              <w:rPr/>
              <w:t> </w:t>
            </w:r>
          </w:p>
        </w:tc>
      </w:tr>
      <w:tr>
        <w:trPr/>
        <w:tc>
          <w:tcPr>
            <w:tcW w:w="3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costs: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616" w:type="dxa"/>
            <w:tcBorders/>
          </w:tcPr>
          <w:p>
            <w:pPr>
              <w:pStyle w:val="TableContents"/>
              <w:bidi w:val="0"/>
              <w:spacing w:before="0" w:after="0"/>
              <w:jc w:val="left"/>
              <w:rPr>
                <w:rFonts w:ascii="Times New Roman" w:hAnsi="Times New Roman"/>
                <w:sz w:val="20"/>
              </w:rPr>
            </w:pPr>
            <w:r>
              <w:rPr>
                <w:rFonts w:ascii="Times New Roman" w:hAnsi="Times New Roman"/>
                <w:sz w:val="20"/>
              </w:rPr>
              <w:t>azelaprag</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6,443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4,624</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1,819</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39</w:t>
            </w:r>
          </w:p>
        </w:tc>
        <w:tc>
          <w:tcPr>
            <w:tcW w:w="280" w:type="dxa"/>
            <w:tcBorders/>
            <w:vAlign w:val="bottom"/>
          </w:tcPr>
          <w:p>
            <w:pPr>
              <w:pStyle w:val="TableContents"/>
              <w:bidi w:val="0"/>
              <w:spacing w:before="0" w:after="283"/>
              <w:jc w:val="left"/>
              <w:rPr/>
            </w:pPr>
            <w:r>
              <w:rPr/>
              <w:t>% </w:t>
            </w:r>
          </w:p>
        </w:tc>
      </w:tr>
      <w:tr>
        <w:trPr/>
        <w:tc>
          <w:tcPr>
            <w:tcW w:w="3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programs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9,450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10,508</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(1,058</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(10</w:t>
            </w:r>
          </w:p>
        </w:tc>
        <w:tc>
          <w:tcPr>
            <w:tcW w:w="280" w:type="dxa"/>
            <w:tcBorders/>
            <w:shd w:fill="CCEEFF" w:val="clear"/>
            <w:vAlign w:val="bottom"/>
          </w:tcPr>
          <w:p>
            <w:pPr>
              <w:pStyle w:val="TableContents"/>
              <w:bidi w:val="0"/>
              <w:spacing w:before="0" w:after="283"/>
              <w:jc w:val="left"/>
              <w:rPr/>
            </w:pPr>
            <w:r>
              <w:rPr/>
              <w:t>) </w:t>
            </w:r>
          </w:p>
        </w:tc>
      </w:tr>
      <w:tr>
        <w:trPr/>
        <w:tc>
          <w:tcPr>
            <w:tcW w:w="3616" w:type="dxa"/>
            <w:tcBorders/>
          </w:tcPr>
          <w:p>
            <w:pPr>
              <w:pStyle w:val="TableContents"/>
              <w:bidi w:val="0"/>
              <w:spacing w:before="0" w:after="0"/>
              <w:jc w:val="left"/>
              <w:rPr>
                <w:rFonts w:ascii="Times New Roman" w:hAnsi="Times New Roman"/>
                <w:sz w:val="20"/>
              </w:rPr>
            </w:pPr>
            <w:r>
              <w:rPr>
                <w:rFonts w:ascii="Times New Roman" w:hAnsi="Times New Roman"/>
                <w:sz w:val="20"/>
              </w:rPr>
              <w:t>Indirect costs: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Personnel-related expenses (including stock-based compensation expense)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13,726</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12,675</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1,051</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8</w:t>
            </w:r>
          </w:p>
        </w:tc>
        <w:tc>
          <w:tcPr>
            <w:tcW w:w="280" w:type="dxa"/>
            <w:tcBorders/>
            <w:shd w:fill="CCEEFF" w:val="clear"/>
            <w:vAlign w:val="bottom"/>
          </w:tcPr>
          <w:p>
            <w:pPr>
              <w:pStyle w:val="TableContents"/>
              <w:bidi w:val="0"/>
              <w:spacing w:before="0" w:after="283"/>
              <w:jc w:val="left"/>
              <w:rPr/>
            </w:pPr>
            <w:r>
              <w:rPr/>
              <w:t> </w:t>
            </w:r>
          </w:p>
        </w:tc>
      </w:tr>
      <w:tr>
        <w:trPr/>
        <w:tc>
          <w:tcPr>
            <w:tcW w:w="3616" w:type="dxa"/>
            <w:tcBorders/>
          </w:tcPr>
          <w:p>
            <w:pPr>
              <w:pStyle w:val="TableContents"/>
              <w:bidi w:val="0"/>
              <w:spacing w:before="0" w:after="0"/>
              <w:jc w:val="left"/>
              <w:rPr>
                <w:rFonts w:ascii="Times New Roman" w:hAnsi="Times New Roman"/>
                <w:sz w:val="20"/>
              </w:rPr>
            </w:pPr>
            <w:r>
              <w:rPr>
                <w:rFonts w:ascii="Times New Roman" w:hAnsi="Times New Roman"/>
                <w:sz w:val="20"/>
              </w:rPr>
              <w:t>Allocated facility and other expenses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4,267</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2,715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1,552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57</w:t>
            </w:r>
          </w:p>
        </w:tc>
        <w:tc>
          <w:tcPr>
            <w:tcW w:w="280" w:type="dxa"/>
            <w:tcBorders/>
            <w:vAlign w:val="bottom"/>
          </w:tcPr>
          <w:p>
            <w:pPr>
              <w:pStyle w:val="TableContents"/>
              <w:bidi w:val="0"/>
              <w:spacing w:before="0" w:after="283"/>
              <w:jc w:val="left"/>
              <w:rPr/>
            </w:pPr>
            <w:r>
              <w:rPr/>
              <w:t> </w:t>
            </w:r>
          </w:p>
        </w:tc>
      </w:tr>
      <w:tr>
        <w:trPr/>
        <w:tc>
          <w:tcPr>
            <w:tcW w:w="3616"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6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  </w:t>
            </w:r>
            <w:r>
              <w:rPr/>
              <w:t>33,886</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  </w:t>
            </w:r>
            <w:r>
              <w:rPr/>
              <w:t>30,522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r>
              <w:rPr/>
              <w:t>3,364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11</w:t>
            </w:r>
          </w:p>
        </w:tc>
        <w:tc>
          <w:tcPr>
            <w:tcW w:w="280" w:type="dxa"/>
            <w:tcBorders/>
            <w:shd w:fill="CCEEFF" w:val="clear"/>
            <w:vAlign w:val="bottom"/>
          </w:tcPr>
          <w:p>
            <w:pPr>
              <w:pStyle w:val="TableContents"/>
              <w:bidi w:val="0"/>
              <w:spacing w:before="0" w:after="283"/>
              <w:jc w:val="left"/>
              <w:rPr/>
            </w:pPr>
            <w:r>
              <w:rPr/>
              <w:t>% </w:t>
            </w:r>
          </w:p>
        </w:tc>
      </w:tr>
      <w:tr>
        <w:trPr/>
        <w:tc>
          <w:tcPr>
            <w:tcW w:w="3616"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Research and development expenses increased by $3.4 million from $30.5 million for the year ended December 31, 2022 to $33.9 million for the year ended December 31, 2023. This increase was primarily attributable to a $1.8 million increase in costs related to the clinical development of azelaprag as it progressed toward phase 2 trials in combination with a GLP-1R agonist; a $1.1 million increase in personnel-related expenses (including stock-based compensation expense) primarily due to increased salaries and related expenses; a $1.6 million increase in allocated facility and other expenses primarily due to an increase in lab supplies and services; and a $1.1 million decrease in direct costs related to other programs, as we have focused our development spend primarily on azelaprag.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increased by $5.1 million from $9.4 million for the year ended December 31, 2022 to $14.5 million for the year ended December 31, 2023. This increase was primarily attributable to a $3.2 million increase in personnel-related costs including stock-based compensation expense related to increased headcount; and a $1.9 million increase in professional fees related to legal, consulting, and IT costs.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both"/>
        <w:rPr>
          <w:rFonts w:ascii="Times New Roman" w:hAnsi="Times New Roman"/>
          <w:sz w:val="20"/>
        </w:rPr>
      </w:pPr>
      <w:r>
        <w:rPr>
          <w:rFonts w:ascii="Times New Roman" w:hAnsi="Times New Roman"/>
          <w:sz w:val="20"/>
        </w:rPr>
        <w:t xml:space="preserve">Other expense, net increased by approximately $15.7 million from $0.2 million of income for the year ended December 31, 2022 to $15.5 million of expense for the year ended December 31, 2023. This increase is primarily attributable to a $10.1 million increase in losses from changes in fair value related to the embedded derivative liability associated with our convertible promissory notes and a $7.6 million increase in interest expense related to increased borrowings. These increases are partially offset by a $2.0 million increase in interest and other income as a result of higher cash balances and increased interest rates on our cash and cash equivalents.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both"/>
        <w:rPr>
          <w:rFonts w:ascii="Times New Roman" w:hAnsi="Times New Roman"/>
          <w:sz w:val="20"/>
        </w:rPr>
      </w:pPr>
      <w:r>
        <w:rPr>
          <w:rFonts w:ascii="Times New Roman" w:hAnsi="Times New Roman"/>
          <w:sz w:val="20"/>
        </w:rPr>
        <w:t xml:space="preserve">Since our inception, we have incurred significant losses in each period and on an aggregate basis. We have not yet commercialized any product candidates, and we do not expect to generate revenue from sales of any product candidates or from other sources for the foreseeable future, if at all. As of June 30, 2024, we had $159.1 million in cash and cash equivalents, and we had an accumulated deficit of $208.3 million. To date, we have financed our operations primarily with proceeds from sales of shares of our redeemable convertible preferred stock. From inception through June 30, 2024, we have raised aggregate gross proceeds of approximately $320.7 million through the sale and issuance of our common stock, redeemable convertible preferred stock and convertible promissory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May 2022, we entered into a loan and security agreement (the Loan Agreement) with SVB Innovative Credit Growth Fund IX, LP and Innovative Credit Growth Fund VIII-A, LP pursuant to which we were able to borrow up to an aggregate of $25.0 million across two potential tranches until December 31, 2023 (the Term Loan). The Loan Agreement has a floating interest rate of the higher of the Wall Street Journal Prime rate plus 4.00% or 7.5%. The amounts borrowed under the Loan Agreement are scheduled to mature on April 1, 2026 and commencing on November 1, 2023 we are required to make monthly principal payments. In addition, we will also be required to pay a final payment fee equal to 4.4% of the total amount borrowed. As of June 30, 2024, we had $11.0 million outstanding under the Loan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regarding our cash flows for each of the periods presented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55"/>
        <w:gridCol w:w="205"/>
        <w:gridCol w:w="191"/>
        <w:gridCol w:w="1010"/>
        <w:gridCol w:w="205"/>
        <w:gridCol w:w="176"/>
        <w:gridCol w:w="191"/>
        <w:gridCol w:w="1013"/>
        <w:gridCol w:w="155"/>
        <w:gridCol w:w="162"/>
        <w:gridCol w:w="140"/>
        <w:gridCol w:w="808"/>
        <w:gridCol w:w="155"/>
        <w:gridCol w:w="162"/>
        <w:gridCol w:w="140"/>
        <w:gridCol w:w="775"/>
        <w:gridCol w:w="162"/>
      </w:tblGrid>
      <w:tr>
        <w:trPr/>
        <w:tc>
          <w:tcPr>
            <w:tcW w:w="455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7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80"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62" w:type="dxa"/>
            <w:tcBorders/>
            <w:vAlign w:val="bottom"/>
          </w:tcPr>
          <w:p>
            <w:pPr>
              <w:pStyle w:val="TableContents"/>
              <w:bidi w:val="0"/>
              <w:spacing w:before="0" w:after="283"/>
              <w:jc w:val="left"/>
              <w:rPr/>
            </w:pPr>
            <w:r>
              <w:rPr/>
              <w:t> </w:t>
            </w:r>
          </w:p>
        </w:tc>
      </w:tr>
      <w:tr>
        <w:trPr/>
        <w:tc>
          <w:tcPr>
            <w:tcW w:w="45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0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45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80" w:type="dxa"/>
            <w:gridSpan w:val="6"/>
            <w:tcBorders/>
            <w:vAlign w:val="bottom"/>
          </w:tcPr>
          <w:p>
            <w:pPr>
              <w:pStyle w:val="TableContents"/>
              <w:bidi w:val="0"/>
              <w:spacing w:before="0" w:after="283"/>
              <w:jc w:val="center"/>
              <w:rPr>
                <w:b/>
              </w:rPr>
            </w:pPr>
            <w:r>
              <w:rPr>
                <w:b/>
              </w:rPr>
              <w:t>(unaudited)</w:t>
            </w:r>
          </w:p>
        </w:tc>
        <w:tc>
          <w:tcPr>
            <w:tcW w:w="162"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0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(37,362</w:t>
            </w:r>
          </w:p>
        </w:tc>
        <w:tc>
          <w:tcPr>
            <w:tcW w:w="20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(36,181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(31,453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(21,096</w:t>
            </w:r>
          </w:p>
        </w:tc>
        <w:tc>
          <w:tcPr>
            <w:tcW w:w="162" w:type="dxa"/>
            <w:tcBorders/>
            <w:shd w:fill="CCEEFF" w:val="clear"/>
            <w:vAlign w:val="bottom"/>
          </w:tcPr>
          <w:p>
            <w:pPr>
              <w:pStyle w:val="TableContents"/>
              <w:bidi w:val="0"/>
              <w:spacing w:before="0" w:after="283"/>
              <w:jc w:val="left"/>
              <w:rPr/>
            </w:pPr>
            <w:r>
              <w:rPr/>
              <w:t>) </w:t>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0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(266</w:t>
            </w:r>
          </w:p>
        </w:tc>
        <w:tc>
          <w:tcPr>
            <w:tcW w:w="20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(167</w:t>
            </w:r>
          </w:p>
        </w:tc>
        <w:tc>
          <w:tcPr>
            <w:tcW w:w="162" w:type="dxa"/>
            <w:tcBorders/>
            <w:vAlign w:val="bottom"/>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0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34,941</w:t>
            </w:r>
          </w:p>
        </w:tc>
        <w:tc>
          <w:tcPr>
            <w:tcW w:w="20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2,499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165,614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35,992</w:t>
            </w:r>
          </w:p>
        </w:tc>
        <w:tc>
          <w:tcPr>
            <w:tcW w:w="162" w:type="dxa"/>
            <w:tcBorders/>
            <w:shd w:fill="CCEEFF" w:val="clear"/>
            <w:vAlign w:val="bottom"/>
          </w:tcPr>
          <w:p>
            <w:pPr>
              <w:pStyle w:val="TableContents"/>
              <w:bidi w:val="0"/>
              <w:spacing w:before="0" w:after="283"/>
              <w:jc w:val="left"/>
              <w:rPr/>
            </w:pPr>
            <w:r>
              <w:rPr/>
              <w:t> </w:t>
            </w:r>
          </w:p>
        </w:tc>
      </w:tr>
      <w:tr>
        <w:trPr/>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cash equivalents, and restricted cash</w:t>
            </w:r>
          </w:p>
        </w:tc>
        <w:tc>
          <w:tcPr>
            <w:tcW w:w="20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w:t>
            </w:r>
          </w:p>
        </w:tc>
        <w:tc>
          <w:tcPr>
            <w:tcW w:w="20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30</w:t>
            </w:r>
          </w:p>
        </w:tc>
        <w:tc>
          <w:tcPr>
            <w:tcW w:w="162" w:type="dxa"/>
            <w:tcBorders/>
            <w:vAlign w:val="bottom"/>
          </w:tcPr>
          <w:p>
            <w:pPr>
              <w:pStyle w:val="TableContents"/>
              <w:bidi w:val="0"/>
              <w:spacing w:before="0" w:after="283"/>
              <w:jc w:val="left"/>
              <w:rPr/>
            </w:pPr>
            <w:r>
              <w:rPr/>
              <w:t> </w:t>
            </w:r>
          </w:p>
        </w:tc>
      </w:tr>
      <w:tr>
        <w:trPr/>
        <w:tc>
          <w:tcPr>
            <w:tcW w:w="455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20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(2,687</w:t>
            </w:r>
          </w:p>
        </w:tc>
        <w:tc>
          <w:tcPr>
            <w:tcW w:w="20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(33,539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134,128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14,759</w:t>
            </w:r>
          </w:p>
        </w:tc>
        <w:tc>
          <w:tcPr>
            <w:tcW w:w="162" w:type="dxa"/>
            <w:tcBorders/>
            <w:shd w:fill="CCEEFF" w:val="clear"/>
            <w:vAlign w:val="bottom"/>
          </w:tcPr>
          <w:p>
            <w:pPr>
              <w:pStyle w:val="TableContents"/>
              <w:bidi w:val="0"/>
              <w:spacing w:before="0" w:after="283"/>
              <w:jc w:val="left"/>
              <w:rPr/>
            </w:pPr>
            <w:r>
              <w:rPr/>
              <w:t> </w:t>
            </w:r>
          </w:p>
        </w:tc>
      </w:tr>
      <w:tr>
        <w:trPr/>
        <w:tc>
          <w:tcPr>
            <w:tcW w:w="455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Net cash used in operating activities for the year ended December 31, 2023 was $37.4 million, and was primarily due to our net loss of $63.9 million, which included a non-cash charges of $10.1 million related to losses from changes in fair value on warrants and derivative liabilities, $6.5 million related to non-cash interest expense, and $3.0 million related to stock-based compensation expense. Partially offsetting the increase in net cash used in operating activities was a $3.7 million increase in accrued expenses and other current liabilities and a $3.3 million increase in deferred grant income. </w:t>
      </w:r>
    </w:p>
    <w:p>
      <w:pPr>
        <w:pStyle w:val="TextBody"/>
        <w:bidi w:val="0"/>
        <w:spacing w:before="240" w:after="0"/>
        <w:jc w:val="both"/>
        <w:rPr>
          <w:rFonts w:ascii="Times New Roman" w:hAnsi="Times New Roman"/>
          <w:sz w:val="20"/>
        </w:rPr>
      </w:pPr>
      <w:r>
        <w:rPr>
          <w:rFonts w:ascii="Times New Roman" w:hAnsi="Times New Roman"/>
          <w:sz w:val="20"/>
        </w:rPr>
        <w:t xml:space="preserve">Net cash used in operating activities for the year ended December 31, 2022 was $36.2 million, and was primarily due to our net loss of $39.7 million, which included a non-cash charge of $2.5 million related to stock-based compensation expense. </w:t>
      </w:r>
    </w:p>
    <w:p>
      <w:pPr>
        <w:pStyle w:val="TextBody"/>
        <w:bidi w:val="0"/>
        <w:spacing w:before="240" w:after="0"/>
        <w:jc w:val="both"/>
        <w:rPr>
          <w:rFonts w:ascii="Times New Roman" w:hAnsi="Times New Roman"/>
          <w:sz w:val="20"/>
        </w:rPr>
      </w:pPr>
      <w:r>
        <w:rPr>
          <w:rFonts w:ascii="Times New Roman" w:hAnsi="Times New Roman"/>
          <w:sz w:val="20"/>
        </w:rPr>
        <w:t xml:space="preserve">Net cash used in operating activities during the six months ended June 30, 2024 was $31.5 million, and was primarily due to our net loss of $26.6 million, a $5.8 million decrease in accrued expenses and other current liabilities related to operating activities, a $1.2 million decrease in accounts payable related to operating activities, and a $1.6 million increase in prepaid expenses and other current assets related to operating activities. </w:t>
      </w:r>
    </w:p>
    <w:p>
      <w:pPr>
        <w:pStyle w:val="TextBody"/>
        <w:bidi w:val="0"/>
        <w:spacing w:before="240" w:after="0"/>
        <w:jc w:val="both"/>
        <w:rPr>
          <w:rFonts w:ascii="Times New Roman" w:hAnsi="Times New Roman"/>
          <w:sz w:val="20"/>
        </w:rPr>
      </w:pPr>
      <w:r>
        <w:rPr>
          <w:rFonts w:ascii="Times New Roman" w:hAnsi="Times New Roman"/>
          <w:sz w:val="20"/>
        </w:rPr>
        <w:t xml:space="preserve">Net cash used in operating activities during the six months ended June 30, 2023 was $21.1 million, and was primarily due to our net loss of $28.3 million, which included non-cash charges of $1.5 million related to stock-based compensation expense, $2.6 million of non-cash interest expense, and $2.1 million related to losses from changes in fair value on warrants and derivative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Net cash used in investing activities for the years ended December 31, 2023 and December 31, 2022 was $0.3 million and $0.1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Net cash used in investing activities for the six months ended June 30, 2024 and 2023 was less than $0.1 million and $0.2 million,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Net cash provided by financing activities for the year ended December 31, 2023 was $34.9 million, primarily resulting from proceeds of $23.5 million received from the issuance and sale of convertible promissory notes, net of issuance costs, $12.5 million in proceeds received from our Term Loan, net of issuance costs, partially offset by $1.0 million of Term Loan principal payments. </w:t>
      </w:r>
    </w:p>
    <w:p>
      <w:pPr>
        <w:pStyle w:val="TextBody"/>
        <w:bidi w:val="0"/>
        <w:spacing w:before="240" w:after="0"/>
        <w:jc w:val="both"/>
        <w:rPr>
          <w:rFonts w:ascii="Times New Roman" w:hAnsi="Times New Roman"/>
          <w:sz w:val="20"/>
        </w:rPr>
      </w:pPr>
      <w:r>
        <w:rPr>
          <w:rFonts w:ascii="Times New Roman" w:hAnsi="Times New Roman"/>
          <w:sz w:val="20"/>
        </w:rPr>
        <w:t xml:space="preserve">Net cash provided by financing activities for the year ended December 31, 2022 was $2.5 million, resulting from proceeds received from our Term Loan, net of issuance costs. </w:t>
      </w:r>
    </w:p>
    <w:p>
      <w:pPr>
        <w:pStyle w:val="TextBody"/>
        <w:bidi w:val="0"/>
        <w:spacing w:before="240" w:after="0"/>
        <w:jc w:val="both"/>
        <w:rPr>
          <w:rFonts w:ascii="Times New Roman" w:hAnsi="Times New Roman"/>
          <w:sz w:val="20"/>
        </w:rPr>
      </w:pPr>
      <w:r>
        <w:rPr>
          <w:rFonts w:ascii="Times New Roman" w:hAnsi="Times New Roman"/>
          <w:sz w:val="20"/>
        </w:rPr>
        <w:t xml:space="preserve">Net cash provided by financing activities during the six months ended June 30, 2024 was $165.6 million, resulting from $169.5 million in net proceeds from the issuance and sale of our Series D redeemable convertible preferred stock and $0.4 million in proceeds from stock option exercises partially offset by $3.0 million in principal payments on our Term Loan, and $1.3 million in deferred offering cost payments. </w:t>
      </w:r>
    </w:p>
    <w:p>
      <w:pPr>
        <w:pStyle w:val="TextBody"/>
        <w:bidi w:val="0"/>
        <w:spacing w:before="240" w:after="0"/>
        <w:jc w:val="both"/>
        <w:rPr>
          <w:rFonts w:ascii="Times New Roman" w:hAnsi="Times New Roman"/>
          <w:sz w:val="20"/>
        </w:rPr>
      </w:pPr>
      <w:r>
        <w:rPr>
          <w:rFonts w:ascii="Times New Roman" w:hAnsi="Times New Roman"/>
          <w:sz w:val="20"/>
        </w:rPr>
        <w:t xml:space="preserve">Net cash provided by financing activities during the six months ended June 30, 2023 was $36.0 million, resulting from proceeds of $23.5 million received from the issuance and sale of convertible promissory notes and $12.5 million in proceeds from the Term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240" w:after="0"/>
        <w:jc w:val="both"/>
        <w:rPr>
          <w:rFonts w:ascii="Times New Roman" w:hAnsi="Times New Roman"/>
          <w:sz w:val="20"/>
        </w:rPr>
      </w:pPr>
      <w:r>
        <w:rPr>
          <w:rFonts w:ascii="Times New Roman" w:hAnsi="Times New Roman"/>
          <w:sz w:val="20"/>
        </w:rPr>
        <w:t xml:space="preserve">Our primary uses of capital are, and we expect will continue to be, research and development services, compensation and related expenses and general overhead costs. We expect to continue to incur significant expenses and operating losses for the foreseeable future. In addition, upon the closing of this offering, we expect to incur additional costs associated with operating as a public company. We anticipate that our expenses will increase significantly in connection with our ongoing activities. </w:t>
      </w:r>
    </w:p>
    <w:p>
      <w:pPr>
        <w:pStyle w:val="TextBody"/>
        <w:bidi w:val="0"/>
        <w:spacing w:before="240" w:after="0"/>
        <w:jc w:val="both"/>
        <w:rPr>
          <w:rFonts w:ascii="Times New Roman" w:hAnsi="Times New Roman"/>
          <w:sz w:val="20"/>
        </w:rPr>
      </w:pPr>
      <w:r>
        <w:rPr>
          <w:rFonts w:ascii="Times New Roman" w:hAnsi="Times New Roman"/>
          <w:sz w:val="20"/>
        </w:rPr>
        <w:t xml:space="preserve">Based on our current operating plan, we estimate that our existing cash and cash equivalents as of the date of this prospectus, without taking into consideration the net proceeds from this offering and the concurrent private placement, will be sufficient to fund our projected operations and capital expenses through at least the next 12 months from the date of this prospectus. In addition, based on our current operating plan, we estimate that our existing cash and cash equivalents, together with the net proceeds from this offering, will be sufficient to fund our operations and capital expenses into 2029. However, we have based these estimates on assumptions that may prove to be wrong, and we could exhaust our capital resources sooner than we expect. </w:t>
      </w:r>
    </w:p>
    <w:p>
      <w:pPr>
        <w:pStyle w:val="TextBody"/>
        <w:bidi w:val="0"/>
        <w:spacing w:before="240" w:after="0"/>
        <w:jc w:val="both"/>
        <w:rPr>
          <w:rFonts w:ascii="Times New Roman" w:hAnsi="Times New Roman"/>
          <w:sz w:val="20"/>
        </w:rPr>
      </w:pPr>
      <w:r>
        <w:rPr>
          <w:rFonts w:ascii="Times New Roman" w:hAnsi="Times New Roman"/>
          <w:sz w:val="20"/>
        </w:rPr>
        <w:t xml:space="preserve">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cost and progress of preclinical and clinical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regulatory submissions and timing of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and scope of preclinical and clinical programs we decide to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progress of the development efforts of parties with whom we may in the future enter into licenses, collaborations or other strategic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amount of milestone and other payments we are obligated to make under our Amgen Agreement or any future license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cash requirements of any future acquisitions or discovery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establish and maintain licenses, collaborations or other strategic partnerships with third parties on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involved in prosecuting and enforcing patent and other intellectual property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costs of manufacturing our product candidates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commercialization activities if azelaprag or any future product candidates are approved for sale, including marketing, sales and distribution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efforts to enhance operational systems and hire additional personnel, including personnel to support development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need to implement additional internal systems and infrastructure, including financial and reporting systems to satisfy our obligations as a public company.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change in the outcome of any of these or other variables with respect to the development of azelaprag or any product or development candidate we may develop in the future could significantly change the costs and timing associated with our development plans. Further, our operating plans may change in the future, and we may need additional funds to meet operational needs and capital requirements associated with such operating plans. </w:t>
      </w:r>
    </w:p>
    <w:p>
      <w:pPr>
        <w:pStyle w:val="TextBody"/>
        <w:bidi w:val="0"/>
        <w:spacing w:before="240" w:after="0"/>
        <w:jc w:val="both"/>
        <w:rPr>
          <w:rFonts w:ascii="Times New Roman" w:hAnsi="Times New Roman"/>
          <w:sz w:val="20"/>
        </w:rPr>
      </w:pPr>
      <w:r>
        <w:rPr>
          <w:rFonts w:ascii="Times New Roman" w:hAnsi="Times New Roman"/>
          <w:sz w:val="20"/>
        </w:rPr>
        <w:t xml:space="preserve">Until such time, if ever, as we can generate substantial product revenues, we expect to finance our cash needs through equity offerings, debt financings or other capital sources, which could include licenses, collaborations, or other strategic partnerships. We currently have no credit facility or committed sources of capital.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 If we raise additional funds through licenses, collaborations, or other strategic partnerships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There is no assurance that we will ever be profitable or generate positive cash flow from operating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Other Commitments </w:t>
      </w:r>
    </w:p>
    <w:p>
      <w:pPr>
        <w:pStyle w:val="TextBody"/>
        <w:bidi w:val="0"/>
        <w:spacing w:before="120" w:after="0"/>
        <w:jc w:val="both"/>
        <w:rPr>
          <w:rFonts w:ascii="Times New Roman" w:hAnsi="Times New Roman"/>
          <w:sz w:val="20"/>
        </w:rPr>
      </w:pPr>
      <w:r>
        <w:rPr>
          <w:rFonts w:ascii="Times New Roman" w:hAnsi="Times New Roman"/>
          <w:sz w:val="20"/>
        </w:rPr>
        <w:t xml:space="preserve">For more information on the Amgen Agreement, see the section titled BusinessMaterial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 Obligations </w:t>
      </w:r>
    </w:p>
    <w:p>
      <w:pPr>
        <w:pStyle w:val="TextBody"/>
        <w:bidi w:val="0"/>
        <w:spacing w:before="120" w:after="0"/>
        <w:jc w:val="both"/>
        <w:rPr>
          <w:rFonts w:ascii="Times New Roman" w:hAnsi="Times New Roman"/>
          <w:sz w:val="20"/>
        </w:rPr>
      </w:pPr>
      <w:r>
        <w:rPr>
          <w:rFonts w:ascii="Times New Roman" w:hAnsi="Times New Roman"/>
          <w:sz w:val="20"/>
        </w:rPr>
        <w:t xml:space="preserve">We lease office and lab space at our corporate headquarters in Richmond, California (the Headquarters Lease). The Headquarters lease is accounted for as an operating lease and expires on August 31, 2025. As of June 30, 2024, our non-cancellable lease obligations were $0.4 million, of which $0.3 million is due within the next 12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and Other Obligations </w:t>
      </w:r>
    </w:p>
    <w:p>
      <w:pPr>
        <w:pStyle w:val="TextBody"/>
        <w:bidi w:val="0"/>
        <w:spacing w:before="120" w:after="0"/>
        <w:jc w:val="both"/>
        <w:rPr>
          <w:rFonts w:ascii="Times New Roman" w:hAnsi="Times New Roman"/>
          <w:sz w:val="20"/>
        </w:rPr>
      </w:pPr>
      <w:r>
        <w:rPr>
          <w:rFonts w:ascii="Times New Roman" w:hAnsi="Times New Roman"/>
          <w:sz w:val="20"/>
        </w:rPr>
        <w:t xml:space="preserve">We enter into contracts in the normal course of business with CROs, CDMOs and other third-party vendors for preclinical research studies and testing, clinical trials and testing and manufacturing services. Most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do not contain minimum purchase commitments and are cancellable by us upon written notice. Payments due upon cancellation consist of payments for services provided or expenses incurred, including non-cancelable obligations of our service provided up to one year after the date of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both"/>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consolidated financial statements, which have been prepared in accordance with United States Generally Accepted Accounting Principles (GAAP). The preparation of these consolidated financial statements requires us to make estimates and judgments that affect the reported amounts of assets and liabilities and the reported amounts of income and expenses during the reporting period. We continually evaluate our estimates and judgments used in preparing our consolidated financial statements and related disclosures. All estimates affect reported amounts of assets, liabilities, income and expenses. These estimates and judgments are also based on historical experience and other factors that are believed to be reasonable under the circumstances. Materially different results can occur as circumstances change and additional information becomes known. </w:t>
      </w:r>
    </w:p>
    <w:p>
      <w:pPr>
        <w:pStyle w:val="TextBody"/>
        <w:bidi w:val="0"/>
        <w:spacing w:before="240" w:after="0"/>
        <w:jc w:val="both"/>
        <w:rPr>
          <w:rFonts w:ascii="Times New Roman" w:hAnsi="Times New Roman"/>
          <w:sz w:val="20"/>
        </w:rPr>
      </w:pPr>
      <w:r>
        <w:rPr>
          <w:rFonts w:ascii="Times New Roman" w:hAnsi="Times New Roman"/>
          <w:sz w:val="20"/>
        </w:rPr>
        <w:t xml:space="preserve">Although our significant accounting policies are described in more detail in Note 2 to each of our audited consolidated financial statements and unaudited condensed consolidated financial statements included elsewhere in this prospectus, we believe that the following accounting policies are those most critical to the judgments and estimates used in the preparation of our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and Prepaid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As part of the process of preparing our consolidated financial statements, we are required to estimate our accrued and prepaid third-party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and prepaid expenses as of each balance sheet date based on facts and circumstances known to us at that time. We periodically confirm the accuracy of our estimates with the service providers and make adjustments if necessary. The significant estimates in our accrued and prepaid research and development expenses include the costs incurred for services performed by our vendors in connection with research and development activities for which we have not yet been invoiced. </w:t>
      </w:r>
    </w:p>
    <w:p>
      <w:pPr>
        <w:pStyle w:val="TextBody"/>
        <w:bidi w:val="0"/>
        <w:spacing w:before="240" w:after="0"/>
        <w:jc w:val="both"/>
        <w:rPr>
          <w:rFonts w:ascii="Times New Roman" w:hAnsi="Times New Roman"/>
          <w:sz w:val="20"/>
        </w:rPr>
      </w:pPr>
      <w:r>
        <w:rPr>
          <w:rFonts w:ascii="Times New Roman" w:hAnsi="Times New Roman"/>
          <w:sz w:val="20"/>
        </w:rPr>
        <w:t xml:space="preserve">We base our expenses related to research and development activities on our estimates of the services received and efforts expended pursuant to quotes and contracts with vendors that conduct research and development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before="240" w:after="0"/>
        <w:jc w:val="both"/>
        <w:rPr>
          <w:rFonts w:ascii="Times New Roman" w:hAnsi="Times New Roman"/>
          <w:sz w:val="20"/>
        </w:rPr>
      </w:pPr>
      <w:r>
        <w:rPr>
          <w:rFonts w:ascii="Times New Roman" w:hAnsi="Times New Roman"/>
          <w:sz w:val="20"/>
        </w:rPr>
        <w:t xml:space="preserve">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Compensation cost for our stock-based payments to employees, non-employees and directors, are based on estimated fair value of the awards on the date of grant. Our stock-based compensation awards are generally subject to service-based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w:t>
      </w:r>
    </w:p>
    <w:p>
      <w:pPr>
        <w:pStyle w:val="TextBody"/>
        <w:bidi w:val="0"/>
        <w:spacing w:before="240" w:after="0"/>
        <w:jc w:val="both"/>
        <w:rPr>
          <w:rFonts w:ascii="Times New Roman" w:hAnsi="Times New Roman"/>
          <w:sz w:val="20"/>
        </w:rPr>
      </w:pPr>
      <w:r>
        <w:rPr>
          <w:rFonts w:ascii="Times New Roman" w:hAnsi="Times New Roman"/>
          <w:sz w:val="20"/>
        </w:rPr>
        <w:t xml:space="preserve">The fair value of each stock option is estimated on the grant date using the Black-Scholes option pricing model, which requires inputs based on certain subjective assumptions,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Risk-Free Interest RateThe risk-free interest rate is based on the U.S. Treasury zero coupon issues in effect at the time of grant for periods corresponding with the expected term of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Expected TermWe use the simplified method (based on the mid-point between the vesting date and the end of the contractual term) to estimate the expected term of the option. Management has limited historical information to develop reasonable expectations about future exercise patterns and post-vesting employment termination behavior our stock option grants. The simplified method makes the assumption that the employee will exercise share options evenly over the period when the share options are vested and ending on the date when the share options would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Expected VolatilitySince our shares are not publicly traded, expected volatility is estimated based on the average historical volatility of similar entities with publicly traded shares. When selecting comparable publicly traded biopharmaceutical companies on which we have based our expected stock price volatility, we selected companies with comparable characteristics, including enterprise value, risk profiles, development stage, and with historical share price information sufficient to meet the expected term of the stock-based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Expected Dividend YieldWe have never paid dividends on our common stock and have no plans to pay dividends on our common stock. Therefore, we used an expected dividend yield of zero.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Estimated Fair Value of Common StockThe estimated fair value of the shares of common stock underlying stock options was determined by our board of directors. Because there was no public market for our common stock, our board of directors determined fair value of the common stock at the time of grant of the options by considering a number of objective and subjective factors including important developments in our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our common stock, among other factors.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Note 7 to each of our audited consolidated financial statements and unaudited condensed consolidated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2023 and 2022, and in the six months ended June 30, 2024 and 2023. </w:t>
      </w:r>
    </w:p>
    <w:p>
      <w:pPr>
        <w:pStyle w:val="TextBody"/>
        <w:bidi w:val="0"/>
        <w:spacing w:before="240" w:after="0"/>
        <w:jc w:val="both"/>
        <w:rPr>
          <w:rFonts w:ascii="Times New Roman" w:hAnsi="Times New Roman"/>
          <w:sz w:val="20"/>
        </w:rPr>
      </w:pPr>
      <w:r>
        <w:rPr>
          <w:rFonts w:ascii="Times New Roman" w:hAnsi="Times New Roman"/>
          <w:sz w:val="20"/>
        </w:rPr>
        <w:t xml:space="preserve">We recorded stock-based compensation expense of $2.4 million and $1.5 million for the six months ended June 30, 2024 and 2023, respectively. As of June 30, 2024, there was $19.2 million of unrecognized stock-based compensation expense related to unvested stock options, to be recognized over a weighted-average period of 3.3 years. In future periods, we expect our stock-based compensation expense to increase, due in part to our existing unrecognized stock-based compensation expense and as we grant additional stock-based awards to continue to attract and retain our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Based on the initial public offering price of $18.00 per share, the aggregate intrinsic value of vested and unvested stock options outstanding as of June 30, 2024 was $16.7 million and $26.7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Valuations </w:t>
      </w:r>
    </w:p>
    <w:p>
      <w:pPr>
        <w:pStyle w:val="TextBody"/>
        <w:bidi w:val="0"/>
        <w:spacing w:before="120" w:after="0"/>
        <w:jc w:val="both"/>
        <w:rPr>
          <w:rFonts w:ascii="Times New Roman" w:hAnsi="Times New Roman"/>
          <w:sz w:val="20"/>
        </w:rPr>
      </w:pPr>
      <w:r>
        <w:rPr>
          <w:rFonts w:ascii="Times New Roman" w:hAnsi="Times New Roman"/>
          <w:sz w:val="20"/>
        </w:rPr>
        <w:t xml:space="preserve">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ASC 718, </w:t>
      </w:r>
      <w:r>
        <w:rPr>
          <w:rFonts w:ascii="Times New Roman" w:hAnsi="Times New Roman"/>
          <w:i/>
          <w:sz w:val="20"/>
        </w:rPr>
        <w:t>Compensation</w:t>
      </w:r>
      <w:r>
        <w:rPr>
          <w:rFonts w:ascii="Times New Roman" w:hAnsi="Times New Roman"/>
          <w:sz w:val="20"/>
        </w:rPr>
        <w:t xml:space="preserve">, and the guidance provided by the American Institute of Certified Public Accountants </w:t>
      </w:r>
      <w:r>
        <w:rPr>
          <w:rFonts w:ascii="Times New Roman" w:hAnsi="Times New Roman"/>
          <w:i/>
          <w:sz w:val="20"/>
        </w:rPr>
        <w:t>Accounting and Valuation Guide, Valuation of Privately-Held-Company Equity Securities Issued as Compensation</w:t>
      </w:r>
      <w:r>
        <w:rPr>
          <w:rFonts w:ascii="Times New Roman" w:hAnsi="Times New Roman"/>
          <w:sz w:val="20"/>
        </w:rPr>
        <w:t xml:space="preserve"> (the Practice Aid). </w:t>
      </w:r>
    </w:p>
    <w:p>
      <w:pPr>
        <w:pStyle w:val="TextBody"/>
        <w:bidi w:val="0"/>
        <w:spacing w:before="240" w:after="0"/>
        <w:jc w:val="both"/>
        <w:rPr>
          <w:rFonts w:ascii="Times New Roman" w:hAnsi="Times New Roman"/>
          <w:sz w:val="20"/>
        </w:rPr>
      </w:pPr>
      <w:r>
        <w:rPr>
          <w:rFonts w:ascii="Times New Roman" w:hAnsi="Times New Roman"/>
          <w:sz w:val="20"/>
        </w:rPr>
        <w:t xml:space="preserve">For valuations performed prior to January 21, 2022, in accordance with the Practice Aid, we determined the Option Pricing Method (OPM) was the most appropriate method for determining the fair value of our common stock based on our stage of development and other relevant factors. Within the OPM framework, the backsolve method for inferring the total equity value implied by a recent financing transaction involves the construction of an allocation model that takes into account our capital structure and the rights, preferences and privileges of each class of stock, then assumes reasonable inputs for the other OPM variables (expected time to liquidity, volatility and risk-free rate). The total equity value is then iterated in the model until the model output value for the equity class sold in a recent financing round equals the price paid in that round. In determining the estimated fair value of the common stock, our board of directors also considered the fact that the stockholders could not freely trade the common stock in the public markets. Accordingly, we applied discounts to reflect the lack of marketability of our common stock based on the weighted-average expected time to liquidity. </w:t>
      </w:r>
    </w:p>
    <w:p>
      <w:pPr>
        <w:pStyle w:val="TextBody"/>
        <w:bidi w:val="0"/>
        <w:spacing w:before="240" w:after="0"/>
        <w:jc w:val="both"/>
        <w:rPr>
          <w:rFonts w:ascii="Times New Roman" w:hAnsi="Times New Roman"/>
          <w:sz w:val="20"/>
        </w:rPr>
      </w:pPr>
      <w:r>
        <w:rPr>
          <w:rFonts w:ascii="Times New Roman" w:hAnsi="Times New Roman"/>
          <w:sz w:val="20"/>
        </w:rPr>
        <w:t xml:space="preserve">For valuations performed after January 21, 2022, in accordance with the Practice Aid, we determined the hybrid method was the most appropriate method for determining the fair value of our common stock based on our stage of development and other relevant factors. The hybrid method is a probability-weighted expected return method (PWERM), where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w:t>
      </w:r>
    </w:p>
    <w:p>
      <w:pPr>
        <w:pStyle w:val="TextBody"/>
        <w:bidi w:val="0"/>
        <w:spacing w:before="240" w:after="0"/>
        <w:jc w:val="both"/>
        <w:rPr>
          <w:rFonts w:ascii="Times New Roman" w:hAnsi="Times New Roman"/>
          <w:sz w:val="20"/>
        </w:rPr>
      </w:pPr>
      <w:r>
        <w:rPr>
          <w:rFonts w:ascii="Times New Roman" w:hAnsi="Times New Roman"/>
          <w:sz w:val="20"/>
        </w:rPr>
        <w:t xml:space="preserve">Given the absence of a public trading market, our board of directors, with input from management, considered numerous objective and subjective factors to determine the fair value of common stock. The factors included, but were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contemporaneous valuations performed by an independent third-party valuation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stage of development and material risks related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progress of our research and development programs, including the status and results of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business conditions and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recent sales of our redeemable convertible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rights, preferences and privileges of our redeemable convertible preferred stock relative to those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lack of marketability of our common and redeemable convertible preferred stock as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operating results and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likelihood of achieving a liquidity event, such as an initial public offering or sale of our company, in light of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trends, developments and conditions in the life sciences and biopharmaceutical industry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analysis of initial public offerings and the market performance and stock price volatility of similar public companies in the life sciences and biopharmaceutical sectors;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economy in general.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Promissory Notes and Embedded Derivative Liability </w:t>
      </w:r>
    </w:p>
    <w:p>
      <w:pPr>
        <w:pStyle w:val="TextBody"/>
        <w:bidi w:val="0"/>
        <w:spacing w:before="120" w:after="0"/>
        <w:jc w:val="both"/>
        <w:rPr>
          <w:rFonts w:ascii="Times New Roman" w:hAnsi="Times New Roman"/>
          <w:sz w:val="20"/>
        </w:rPr>
      </w:pPr>
      <w:r>
        <w:rPr>
          <w:rFonts w:ascii="Times New Roman" w:hAnsi="Times New Roman"/>
          <w:sz w:val="20"/>
        </w:rPr>
        <w:t xml:space="preserve">In February 2023, we issued four convertible promissory notes with an aggregate principal amount of $23.5 million (the Convertible Promissory Notes). The Convertible Promissory Notes contained equity conversion options and certain repayment features, that were identified as a single compound embedded derivative requiring bifurcation from the Convertible Promissory Notes. The Convertible Promissory Note embedded derivative liability was initially measured at fair value on issuance and was subject to remeasurement at each reporting period with changes in fair value recognized in the change in fair value of warrants and derivative liabilities caption of the consolidated statements of operations and comprehensive loss. Upon the closing of the Series D redeemable convertible preferred stock financing in February 2024 (the Series D Financing), the Convertible Promissory Notes (including accrued interest) and the related embedded derivative liability converted into 11,887,535 shares of our Series D-1 redeemable convertible preferred stock, resulting in an extinguishment of the Convertible Promissory Notes and settlement of the embedded derivative liability. </w:t>
      </w:r>
    </w:p>
    <w:p>
      <w:pPr>
        <w:pStyle w:val="TextBody"/>
        <w:bidi w:val="0"/>
        <w:spacing w:before="240" w:after="0"/>
        <w:jc w:val="both"/>
        <w:rPr>
          <w:rFonts w:ascii="Times New Roman" w:hAnsi="Times New Roman"/>
          <w:sz w:val="20"/>
        </w:rPr>
      </w:pPr>
      <w:r>
        <w:rPr>
          <w:rFonts w:ascii="Times New Roman" w:hAnsi="Times New Roman"/>
          <w:sz w:val="20"/>
        </w:rPr>
        <w:t xml:space="preserve">We estimated the fair value of the embedded derivative liability related to the Convertible Promissory Notes on issuance and at each reporting period using a with-and-without scenario analysis. The estimated probability and timing of underlying events triggering the conversion and liquidity repayment features as well as discount rates, volatility and share prices were inputs used to determine the estimated fair value of the embedded derivative. </w:t>
      </w:r>
    </w:p>
    <w:p>
      <w:pPr>
        <w:pStyle w:val="TextBody"/>
        <w:bidi w:val="0"/>
        <w:spacing w:before="240" w:after="0"/>
        <w:jc w:val="both"/>
        <w:rPr>
          <w:rFonts w:ascii="Times New Roman" w:hAnsi="Times New Roman"/>
          <w:sz w:val="20"/>
        </w:rPr>
      </w:pPr>
      <w:r>
        <w:rPr>
          <w:rFonts w:ascii="Times New Roman" w:hAnsi="Times New Roman"/>
          <w:sz w:val="20"/>
        </w:rPr>
        <w:t xml:space="preserve">The estimate for the embedded derivative liability was based, in part, on subjective assumptions. Changes to these assumptions could have had a significant impact on the fair value, and the change in fair value, of the derivative liability as well as interest expense. </w:t>
      </w:r>
    </w:p>
    <w:p>
      <w:pPr>
        <w:pStyle w:val="TextBody"/>
        <w:bidi w:val="0"/>
        <w:spacing w:before="240" w:after="0"/>
        <w:jc w:val="both"/>
        <w:rPr>
          <w:rFonts w:ascii="Times New Roman" w:hAnsi="Times New Roman"/>
          <w:sz w:val="20"/>
        </w:rPr>
      </w:pPr>
      <w:r>
        <w:rPr>
          <w:rFonts w:ascii="Times New Roman" w:hAnsi="Times New Roman"/>
          <w:sz w:val="20"/>
        </w:rPr>
        <w:t xml:space="preserve">See Note 2 to each of our audited consolidated financial statements and unaudited condensed consolidated financial statements included elsewhere in this prospectus for information concerning the accounting treatment of the Convertible Promissory Notes. </w:t>
      </w:r>
    </w:p>
    <w:p>
      <w:pPr>
        <w:pStyle w:val="TextBody"/>
        <w:bidi w:val="0"/>
        <w:spacing w:before="360" w:after="0"/>
        <w:jc w:val="left"/>
        <w:rPr>
          <w:rFonts w:ascii="Times New Roman" w:hAnsi="Times New Roman"/>
          <w:b/>
          <w:sz w:val="20"/>
        </w:rPr>
      </w:pPr>
      <w:r>
        <w:rPr>
          <w:rFonts w:ascii="Times New Roman" w:hAnsi="Times New Roman"/>
          <w:b/>
          <w:sz w:val="20"/>
        </w:rPr>
        <w:t xml:space="preserve">Internal Controls Over Financial Reporting </w:t>
      </w:r>
    </w:p>
    <w:p>
      <w:pPr>
        <w:pStyle w:val="TextBody"/>
        <w:bidi w:val="0"/>
        <w:spacing w:before="120" w:after="0"/>
        <w:jc w:val="both"/>
        <w:rPr>
          <w:rFonts w:ascii="Times New Roman" w:hAnsi="Times New Roman"/>
          <w:sz w:val="20"/>
        </w:rPr>
      </w:pPr>
      <w:r>
        <w:rPr>
          <w:rFonts w:ascii="Times New Roman" w:hAnsi="Times New Roman"/>
          <w:sz w:val="20"/>
        </w:rPr>
        <w:t xml:space="preserve">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generally accepted accounting principles. A material weakness is a deficiency, or a combination of deficiencies, in internal control over financial reporting such that it is reasonably possible that a material misstatement of the annual or interim financial statements will not be prevented or detected on a timely basis.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our preparation and the audit of our consolidated financial statements as of and for the years ended December 31, 2023 and 2022, management identified material weaknesses, as defined under the Exchange Act and by the Public Company Accounting Oversight Board (United States), in our internal control over financial reporting. The material weaknesses we identified related to the overall control environment as we had insufficient internal resources with appropriate accounting and finance knowledge and expertise to design, implement, document and operate effective internal controls around our financial reporting process and the lack of effective information technology general controls. </w:t>
      </w:r>
    </w:p>
    <w:p>
      <w:pPr>
        <w:pStyle w:val="TextBody"/>
        <w:bidi w:val="0"/>
        <w:spacing w:before="240" w:after="0"/>
        <w:jc w:val="both"/>
        <w:rPr>
          <w:rFonts w:ascii="Times New Roman" w:hAnsi="Times New Roman"/>
          <w:sz w:val="20"/>
        </w:rPr>
      </w:pPr>
      <w:r>
        <w:rPr>
          <w:rFonts w:ascii="Times New Roman" w:hAnsi="Times New Roman"/>
          <w:sz w:val="20"/>
        </w:rPr>
        <w:t xml:space="preserve">We intend to and have begun to implement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with technical accounting and financial reporting experience in the application of complex areas of GAAP, engaging financial consultants and collaborating with our internal audit consultants to enable the implementation of internal control over financial reporting and improving segregation of duties among accounting and finance personnel in the preparation and review of account reconciliations and journal entries. We will also review and improve the design of our general information technology controls including managing user access and privileged access, managing changes in the information system and segregation of duties with the systems supporting our accounting and reporting processes. </w:t>
      </w:r>
    </w:p>
    <w:p>
      <w:pPr>
        <w:pStyle w:val="TextBody"/>
        <w:bidi w:val="0"/>
        <w:spacing w:before="240" w:after="0"/>
        <w:jc w:val="both"/>
        <w:rPr>
          <w:rFonts w:ascii="Times New Roman" w:hAnsi="Times New Roman"/>
          <w:sz w:val="20"/>
        </w:rPr>
      </w:pPr>
      <w:r>
        <w:rPr>
          <w:rFonts w:ascii="Times New Roman" w:hAnsi="Times New Roman"/>
          <w:sz w:val="20"/>
        </w:rPr>
        <w:t xml:space="preserve">While we are implementing these measures, we cannot assure you that these efforts will remediate our material weaknesses in a timely manner, or at all, or prevent misstatements of our financial statements in the future. If we are unable to successfully remediate our material weaknesses, or identify any future material weaknesses, the accuracy and timing of our financial reporting may be adversely affected, we may be unable to maintain compliance with securities law requirements regarding timely filing of periodic reports, and the market price of our common stock may decline as a result.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and Smaller Reporting Company Status </w:t>
      </w:r>
    </w:p>
    <w:p>
      <w:pPr>
        <w:pStyle w:val="TextBody"/>
        <w:bidi w:val="0"/>
        <w:spacing w:before="120" w:after="0"/>
        <w:jc w:val="both"/>
        <w:rPr>
          <w:rFonts w:ascii="Times New Roman" w:hAnsi="Times New Roman"/>
          <w:sz w:val="20"/>
        </w:rPr>
      </w:pPr>
      <w:r>
        <w:rPr>
          <w:rFonts w:ascii="Times New Roman" w:hAnsi="Times New Roman"/>
          <w:sz w:val="20"/>
        </w:rPr>
        <w:t xml:space="preserve">Under Section 107(b) of the JOBS Act an emerging growth company can delay the adoption of new or revised accounting standards until such time as those standards would apply to private companies. We have elected this exemption to delay adopting new or revised accounting standards until such time as those standards apply to private companies. Where allowable we have early adopted certain standards as described in Note 2 of each of our audited consolidated financial statements and unaudited condensed consolidated financial statements included elsewhere in this prospectus. As a result, our consolidated financial statements may not be comparable to companies that comply with the new or revised accounting pronouncements as of public company effective dates. We will continue to remain an emerging growth company until the earliest of the following: (i) the last day of the fiscal year following the fifth anniversary of the date of the completion of this offering; (ii) the last day of the fiscal year in which our total annual gross revenue is equal to or more than $1.235 billion; (iii) the date on which we have issued more than $1.0 billion in nonconvertible debt during the previous three years; or (iv) the date on which we are deemed to be a large accelerated filer under the rules of the SEC. </w:t>
      </w:r>
    </w:p>
    <w:p>
      <w:pPr>
        <w:pStyle w:val="TextBody"/>
        <w:bidi w:val="0"/>
        <w:spacing w:before="240" w:after="0"/>
        <w:jc w:val="both"/>
        <w:rPr>
          <w:rFonts w:ascii="Times New Roman" w:hAnsi="Times New Roman"/>
          <w:sz w:val="20"/>
        </w:rPr>
      </w:pPr>
      <w:r>
        <w:rPr>
          <w:rFonts w:ascii="Times New Roman" w:hAnsi="Times New Roman"/>
          <w:sz w:val="20"/>
        </w:rPr>
        <w:t xml:space="preserve">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In November 2023, the Financial Accounting Standards Board (FASB) issued Accounting Standards Update (ASU)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on a retrospective basis. We are currently evaluating the potential impact that this standard may have on our consolidated financial statements and related disclosures. </w:t>
      </w:r>
    </w:p>
    <w:p>
      <w:pPr>
        <w:pStyle w:val="TextBody"/>
        <w:bidi w:val="0"/>
        <w:spacing w:before="240" w:after="0"/>
        <w:jc w:val="both"/>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to improve its income tax disclosure requirements. Under the ASU, entities must annually (i) disclose specific categories in the rate reconciliation, (ii) provide additional information for reconciling items that meet a quantitative threshold, and (iii) disclose more detailed information about income taxes paid, including by jurisdiction; pretax income (or loss) from continuing operations; and income tax expense (or benefit). The ASU is effective for fiscal years beginning after December 15, 2024, with early adoption permitted. We do not expect this update to have a material impact on our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Our primary exposure to market risk is interest rate sensitivity, which is affected by changes in the general level of U.S. interest rates, particularly because our cash equivalents are held in money market funds that are invested in U.S. Treasury securities and our Term Loan has a variable interest rate that fluctuates with the U.S. prime rate. </w:t>
      </w:r>
    </w:p>
    <w:p>
      <w:pPr>
        <w:pStyle w:val="TextBody"/>
        <w:bidi w:val="0"/>
        <w:spacing w:before="240" w:after="0"/>
        <w:jc w:val="both"/>
        <w:rPr>
          <w:rFonts w:ascii="Times New Roman" w:hAnsi="Times New Roman"/>
          <w:sz w:val="20"/>
        </w:rPr>
      </w:pPr>
      <w:r>
        <w:rPr>
          <w:rFonts w:ascii="Times New Roman" w:hAnsi="Times New Roman"/>
          <w:sz w:val="20"/>
        </w:rPr>
        <w:t xml:space="preserve">Interest income is sensitive to changes in the general level of interest rates. However, due to the short-term maturities of our cash equivalents, we do not believe a hypothetical 100 basis point increase or decrease in interest rates during any of the periods presented would have had a material impact on our consolidated financial statements included elsewhere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Interest expense is sensitive to changes in the general level of interest rates as our Term Loan incurs interest at a floating per annum rate equal to the U.S. prime rate plus 4.00% with an interest rate floor of 7.5%. However, we do not believe a hypothetical 100 basis point increase or decrease in interest rates during any of the periods presented would have had a material impact on our consolidated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both"/>
        <w:rPr>
          <w:rFonts w:ascii="Times New Roman" w:hAnsi="Times New Roman"/>
          <w:sz w:val="20"/>
        </w:rPr>
      </w:pPr>
      <w:r>
        <w:rPr>
          <w:rFonts w:ascii="Times New Roman" w:hAnsi="Times New Roman"/>
          <w:sz w:val="20"/>
        </w:rPr>
        <w:t xml:space="preserve">Our primary exposure to credit risk is through financial instruments and consist primarily of cash and cash equivalents. We regularly maintain deposits in accredited financial institutions in excess of federally insured limits. As of June 30, 2024, we held cash deposits at Silicon Valley Bank in excess of FDIC insured limits.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bidi w:val="0"/>
        <w:spacing w:before="120" w:after="0"/>
        <w:jc w:val="both"/>
        <w:rPr>
          <w:rFonts w:ascii="Times New Roman" w:hAnsi="Times New Roman"/>
          <w:sz w:val="20"/>
        </w:rPr>
      </w:pPr>
      <w:r>
        <w:rPr>
          <w:rFonts w:ascii="Times New Roman" w:hAnsi="Times New Roman"/>
          <w:sz w:val="20"/>
        </w:rPr>
        <w:t xml:space="preserve">All of our employees and our operations are currently located in the United States and our expenses are generally denominated in U.S. dollars. We therefore are not currently exposed to significant market risk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changes in foreign currency exchange rates. However, we have contracted with and may continue to contract with non-U.S. vendors who we may pay in local currency. Our operations may be subject to fluctuations in foreign currency exchange rates in the future. To date, foreign currency transaction gains and losses have not been material to our financial statements, and we have not had a formal hedging program with respect to foreign currency. We do not believe a hypothetical 100 basis point increase or decrease in exchange rates during any of the periods presented would have had a material effect on our consolidated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Inflation </w:t>
      </w:r>
    </w:p>
    <w:p>
      <w:pPr>
        <w:pStyle w:val="TextBody"/>
        <w:bidi w:val="0"/>
        <w:spacing w:before="120" w:after="0"/>
        <w:jc w:val="both"/>
        <w:rPr>
          <w:rFonts w:ascii="Times New Roman" w:hAnsi="Times New Roman"/>
          <w:sz w:val="20"/>
        </w:rPr>
      </w:pPr>
      <w:r>
        <w:rPr>
          <w:rFonts w:ascii="Times New Roman" w:hAnsi="Times New Roman"/>
          <w:sz w:val="20"/>
        </w:rPr>
        <w:t xml:space="preserve">Inflation generally affects us by increasing our cost of labor and research and development costs. We do not believe that inflation had a material effect on our business, results of operations, or financial condition, or on our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35745_10"/>
      <w:bookmarkEnd w:id="12"/>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We are a clinical-stage biopharmaceutical company developing therapeutic product candidates for metabolic diseases, such as obesity, by targeting the biology of human aging. Our technology platform and differentiated human datasets enable us to identify promising targets based on insights into molecular changes that drive aging. Our primary focus is metabolic disease, one of the greatest global healthcare challenges. Azelaprag, our lead product candidate, is an orally available small molecule that has been well-tolerated in 265 individuals across eight Phase 1 clinical trials. In preclinical obesity models, azelaprag demonstrated the ability to more than double the weight loss induced by a glucagon-like-peptide-1 receptor (GLP-1R) agonist while also restoring healthy body composition and improving muscle function. These preclinical results are supported by our Phase 1b clinical trial in older adults on bed rest where we observed decreased muscle atrophy, preservation of muscle quality and improved metabolism in subjects treated with azelaprag over a 10-day period. We plan to assess azelaprags potential to drive significant improvements in weight loss when combined with a GLP-1R agonist in two Phase 2 clinical trials. While the results of these preclinical studies and early clinical trials have demonstrated the potential use of azelaprag for the treatment of metabolic disease, they may not be predictive of the results of later-stage clinical trials. The ongoing STRIDES clinical trial will assess azelaprag in combination with tirzepatide, marketed as Zepbound® by Lilly with topline results anticipated in the third quarter of 2025. The second Phase 2 clinical trial will assess azelaprag in combination with semaglutide, marketed as Wegovy® by Novo Nordisk, with initiation expected in the first half of 2025 and topline results expected in the second half of 2026. We believe these trials will directly support our ultimate therapeutic goal of developing an all-oral combination product for obesity. We also intend to initiate an insulin sensitivity proof-of-concept trial of azelaprag monotherapy in the first half of 2025 to support potential indication expansion. We expect to report topline results from this proof-of-concept trial in the second half of 2025. We are also developing orally available small molecule brain-penetrant NLRP3 inhibitors for the treatment of diseases driven by neuroinflammation. We anticipate submitting an IND for an NLRP3 inhibitor in the second half of 2025 and, if cleared, initiating a Phase 1 clinical trial in the first half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approach: Targeting human aging biology to treat chronic metabolic diseases </w:t>
      </w:r>
    </w:p>
    <w:p>
      <w:pPr>
        <w:pStyle w:val="TextBody"/>
        <w:bidi w:val="0"/>
        <w:spacing w:before="120" w:after="0"/>
        <w:jc w:val="both"/>
        <w:rPr>
          <w:rFonts w:ascii="Times New Roman" w:hAnsi="Times New Roman"/>
          <w:sz w:val="20"/>
        </w:rPr>
      </w:pPr>
      <w:r>
        <w:rPr>
          <w:rFonts w:ascii="Times New Roman" w:hAnsi="Times New Roman"/>
          <w:sz w:val="20"/>
        </w:rPr>
        <w:t xml:space="preserve">The burden of many serious and chronic diseasesincluding cardiovascular disease and diabetesincreases with age.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86200" cy="331025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3886200" cy="33102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Age is a key risk factor for mortality from many chronic diseases in the United States, including cardiometabolic diseases like heart disease and diabetes. (Source: National Center for Health Statistics).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However, there is substantial natural variation in the human population, resulting in a broad range of aging trajectories and outcomes, with some people experiencing much longer lifespans as well as delayed disease onset. We created our company to identify biological pathways associated with longer, healthier human lifespans and to develop pharmaceutical products that can modulate these pathways with the intent to prevent and reverse specific diseases, focusing on metabolic diseases.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6755" cy="404622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786755" cy="404622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We capture a range of aging outcomes in our human aging cohorts, including functional and cognitive decline, disease incidence and mortality. In this example, deep, serial profiling of circulating proteins in these participants was used to understand the biology that drives these outcomes. </w:t>
      </w:r>
    </w:p>
    <w:p>
      <w:pPr>
        <w:pStyle w:val="TextBody"/>
        <w:bidi w:val="0"/>
        <w:spacing w:before="240" w:after="0"/>
        <w:jc w:val="both"/>
        <w:rPr>
          <w:rFonts w:ascii="Times New Roman" w:hAnsi="Times New Roman"/>
          <w:sz w:val="20"/>
        </w:rPr>
      </w:pPr>
      <w:r>
        <w:rPr>
          <w:rFonts w:ascii="Times New Roman" w:hAnsi="Times New Roman"/>
          <w:sz w:val="20"/>
        </w:rPr>
        <w:t xml:space="preserve">Our approach starts with human data. We examine the impact of the molecular changes that happen naturally as people age and study how these changes drive both functional decline (e.g., loss of muscle strength) and disease risk (e.g., obesity, insulin resistance, dyslipidemia, hypertension). To develop new insights into the biological drivers of aging, we have generated proprietary longitudinal human datasets based on exclusive access to a unique resource: serial biobanked human samples coupled with health records and functional measurements collected for up to 50 years, capturing individual aging trajectories measured over several decades. We analyze these samples using state-of-the-art molecular profiling technologies, measuring thousands of biologically relevant molecules, and then apply computational tools to the resulting data to extract potential drivers of a long and healthy lifespan.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925570" cy="17557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925570" cy="175577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The BioAge platform encompasses over 50 million molecular data points spanning over 10 thousand individual participant profiles and over 50 years of follow-up. </w:t>
      </w:r>
    </w:p>
    <w:p>
      <w:pPr>
        <w:pStyle w:val="TextBody"/>
        <w:bidi w:val="0"/>
        <w:spacing w:before="240" w:after="0"/>
        <w:jc w:val="both"/>
        <w:rPr>
          <w:rFonts w:ascii="Times New Roman" w:hAnsi="Times New Roman"/>
          <w:sz w:val="20"/>
        </w:rPr>
      </w:pPr>
      <w:r>
        <w:rPr>
          <w:rFonts w:ascii="Times New Roman" w:hAnsi="Times New Roman"/>
          <w:sz w:val="20"/>
        </w:rPr>
        <w:t xml:space="preserve">We have selected chronic metabolic diseases as our primary focus within age related chronic diseases, given their high prevalence and resulting potential for impact on population health. Chronic metabolic diseases represent some of the largest addressable therapeutics markets. Through our approach, we expect to target outsized commercial opportunities, initially within the obesity and diabetes landscape. For instance, according to third-party estimates, the global market for GLP-1R agonists, including those used to treat diabetes, is expected to grow to $150 billion by 2031.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385889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779135" cy="385889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According to third-party estimates, the global GLP-1R market across obesity and type 2 diabetes is expected to exceed $150 billion globally by 2031, largely driven by expansion of the obesity commercial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Pipeline </w:t>
      </w:r>
    </w:p>
    <w:p>
      <w:pPr>
        <w:pStyle w:val="TextBody"/>
        <w:bidi w:val="0"/>
        <w:spacing w:before="120" w:after="0"/>
        <w:jc w:val="both"/>
        <w:rPr>
          <w:rFonts w:ascii="Times New Roman" w:hAnsi="Times New Roman"/>
          <w:sz w:val="20"/>
        </w:rPr>
      </w:pPr>
      <w:r>
        <w:rPr>
          <w:rFonts w:ascii="Times New Roman" w:hAnsi="Times New Roman"/>
          <w:sz w:val="20"/>
        </w:rPr>
        <w:t xml:space="preserve">We are building a pipeline of platform-derived therapeutics targeting chronic metabolic disease. Our lead product candidate, azelaprag, is an orally available small molecule agonist of the apelin receptor (APJ) where activation has the potential to recapitulate many of the benefits of exercise. We are developing azelaprag for the treatment of obesity in combination with GLP-1R agonists with the goal of increasing overall weight loss, with the potential to also improve tolerability and body composition. We have initiated one Phase 2 clinical trial of azelaprag in combination with tirzepatide and plan to initiate a second Phase 2 clinical trial of azelaprag in combination with semaglutide. The ongoing STRIDES clinical trial will assess azelaprag in combination with tirzepatide, marketed as Zepbound® by Lilly, with topline results anticipated in the third quarter of 2025. The second Phase 2 clinical trial will assess azelaprag in combination with semaglutide, marketed as Wegovy® by Novo Nordisk, with initiation expected in the first half of 2025 and topline results expected in the second half of 2026. </w:t>
      </w:r>
    </w:p>
    <w:p>
      <w:pPr>
        <w:pStyle w:val="TextBody"/>
        <w:bidi w:val="0"/>
        <w:spacing w:before="240" w:after="0"/>
        <w:jc w:val="both"/>
        <w:rPr>
          <w:rFonts w:ascii="Times New Roman" w:hAnsi="Times New Roman"/>
          <w:sz w:val="20"/>
        </w:rPr>
      </w:pPr>
      <w:r>
        <w:rPr>
          <w:rFonts w:ascii="Times New Roman" w:hAnsi="Times New Roman"/>
          <w:sz w:val="20"/>
        </w:rPr>
        <w:t xml:space="preserve">To support potential indication expansion, we also intend to initiate an insulin sensitivity proof-of-concept trial with azelaprag monotherapy in the first half of 2025. We expect to report topline results from this proof-of-concept trial in the second half of 2025. We are also developing a series of oral small molecule inhibitors of NLRP3, a key driver of inflammation which is linked to many diseases including obesity. We anticipate submitting an IND for an NLRP3 inhibitor in the second half of 2025, and, if cleared, initiating a Phase 1 clinical trial in the first half of 2026. From our platform, we have several additional targets with product candidates in discovery stages, and we are also continuously seeking to identify and develop further promising targets. </w:t>
      </w:r>
    </w:p>
    <w:p>
      <w:pPr>
        <w:pStyle w:val="TextBody"/>
        <w:bidi w:val="0"/>
        <w:spacing w:before="240" w:after="0"/>
        <w:jc w:val="both"/>
        <w:rPr>
          <w:rFonts w:ascii="Times New Roman" w:hAnsi="Times New Roman"/>
          <w:sz w:val="20"/>
        </w:rPr>
      </w:pPr>
      <w:r>
        <w:rPr>
          <w:rFonts w:ascii="Times New Roman" w:hAnsi="Times New Roman"/>
          <w:sz w:val="20"/>
        </w:rPr>
        <w:t xml:space="preserve">Our portfolio of product candidates is summarized in the figure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053330" cy="20320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053330" cy="203200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lead product candidate, azelaprag: an orally available, small molecule APJ agonist that has the potential to recapitulate the effects of exercise </w:t>
      </w:r>
    </w:p>
    <w:p>
      <w:pPr>
        <w:pStyle w:val="TextBody"/>
        <w:bidi w:val="0"/>
        <w:spacing w:before="120" w:after="0"/>
        <w:jc w:val="both"/>
        <w:rPr>
          <w:rFonts w:ascii="Times New Roman" w:hAnsi="Times New Roman"/>
          <w:sz w:val="20"/>
        </w:rPr>
      </w:pPr>
      <w:r>
        <w:rPr>
          <w:rFonts w:ascii="Times New Roman" w:hAnsi="Times New Roman"/>
          <w:sz w:val="20"/>
        </w:rPr>
        <w:t xml:space="preserve">Leveraging our platform, we found that apelin levels decrease with age and that higher levels of apelin are predictive of both improved physical function and increased longevity. Apelin is a type of signaling molecule released in response to exercise known as an exerkine, which has the potential to recapitulate many of the downstream benefits of exercise when administered. Azelaprag is an orally available, small molecule agonist of APJ that we are developing for the treatment of obesity. </w:t>
      </w:r>
    </w:p>
    <w:p>
      <w:pPr>
        <w:pStyle w:val="TextBody"/>
        <w:bidi w:val="0"/>
        <w:spacing w:before="240" w:after="0"/>
        <w:jc w:val="both"/>
        <w:rPr>
          <w:rFonts w:ascii="Times New Roman" w:hAnsi="Times New Roman"/>
          <w:sz w:val="20"/>
        </w:rPr>
      </w:pPr>
      <w:r>
        <w:rPr>
          <w:rFonts w:ascii="Times New Roman" w:hAnsi="Times New Roman"/>
          <w:sz w:val="20"/>
        </w:rPr>
        <w:t xml:space="preserve">In December 2022, we announced results demonstrating a statistically significant maintenance of muscle size and quality in participants administered 240 mg of azelaprag as compared to placebo from our Phase 1b clinical trial in 21 healthy volunteers ≥65 years old over 10 days of bed rest, of which 10 received placebo. We also observed several metabolic benefits in subjects dosed with azelaprag, including significantly higher rates of muscle protein synthesis as well as preservation of predicted resting energy expenditure and cardiorespiratory fitness. Azelaprag was also observed to shift the levels of circulating proteins in a way that is highly overlapping with endurance exercise, further supporting that it may be able to mimic some global effects of exercise at the protein level. </w:t>
      </w:r>
    </w:p>
    <w:p>
      <w:pPr>
        <w:pStyle w:val="TextBody"/>
        <w:bidi w:val="0"/>
        <w:spacing w:before="240" w:after="0"/>
        <w:jc w:val="both"/>
        <w:rPr>
          <w:rFonts w:ascii="Times New Roman" w:hAnsi="Times New Roman"/>
          <w:sz w:val="20"/>
        </w:rPr>
      </w:pPr>
      <w:r>
        <w:rPr>
          <w:rFonts w:ascii="Times New Roman" w:hAnsi="Times New Roman"/>
          <w:sz w:val="20"/>
        </w:rPr>
        <w:t xml:space="preserve">Across eight Phase 1 clinical trials conducted between us and Amgen, azelaprag has been well-tolerated in 265 individuals, with an adverse event rate similar to placebo.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are advancing azelaprag as a treatment for obesity, where our key therapeutic goal is to achieve injectable-like overall weight loss in an all-oral combination with an incretin, with the potential to also improve tolerability and body composition. </w:t>
      </w:r>
    </w:p>
    <w:p>
      <w:pPr>
        <w:pStyle w:val="TextBody"/>
        <w:bidi w:val="0"/>
        <w:spacing w:before="240" w:after="0"/>
        <w:jc w:val="both"/>
        <w:rPr>
          <w:rFonts w:ascii="Times New Roman" w:hAnsi="Times New Roman"/>
          <w:sz w:val="20"/>
        </w:rPr>
      </w:pPr>
      <w:r>
        <w:rPr>
          <w:rFonts w:ascii="Times New Roman" w:hAnsi="Times New Roman"/>
          <w:sz w:val="20"/>
        </w:rPr>
        <w:t xml:space="preserve">Similar to how exercise increases weight loss in obese patients on incretins, administration of azelaprag in combination with GLP-1R agonists resulted in potent synergistic increase in weight loss achieved in a preclinical model of diet-induced obesity. The addition of azelaprag was shown to approximately double total weight loss while restoring body composition and muscle function to that of lean controls, without any significant additional decrease in energy intake. The addition of azelaprag was also observed to significantly reduce non-fasting glucose levels. While the results of these preclinical studies and early clinical trials have demonstrated the potential use of azelaprag for the treatment of metabolic disease, they may not be predictive of the results of later-stage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The evolving obesity treatment landscape: we believe azelaprag addresses multiple key unmet needs </w:t>
      </w:r>
    </w:p>
    <w:p>
      <w:pPr>
        <w:pStyle w:val="TextBody"/>
        <w:bidi w:val="0"/>
        <w:spacing w:before="120" w:after="0"/>
        <w:jc w:val="both"/>
        <w:rPr>
          <w:rFonts w:ascii="Times New Roman" w:hAnsi="Times New Roman"/>
          <w:sz w:val="20"/>
        </w:rPr>
      </w:pPr>
      <w:r>
        <w:rPr>
          <w:rFonts w:ascii="Times New Roman" w:hAnsi="Times New Roman"/>
          <w:sz w:val="20"/>
        </w:rPr>
        <w:t xml:space="preserve">Obesity is associated with a range of adverse health outcomes such as insulin resistance, dyslipidemia and increased blood pressure that can be reduced or even completely resolved with weight loss, with outcomes largely proportional to the amount of weight lost. Until recently, pharmaceutical treatments for obesity had limited efficacy and furthermore were associated with side effects that led to poor tolerability. The development of a class of drugs known as incretins has dramatically changed the treatment landscape. </w:t>
      </w:r>
    </w:p>
    <w:p>
      <w:pPr>
        <w:pStyle w:val="TextBody"/>
        <w:bidi w:val="0"/>
        <w:spacing w:before="240" w:after="0"/>
        <w:jc w:val="both"/>
        <w:rPr>
          <w:rFonts w:ascii="Times New Roman" w:hAnsi="Times New Roman"/>
          <w:sz w:val="20"/>
        </w:rPr>
      </w:pPr>
      <w:r>
        <w:rPr>
          <w:rFonts w:ascii="Times New Roman" w:hAnsi="Times New Roman"/>
          <w:sz w:val="20"/>
        </w:rPr>
        <w:t xml:space="preserve">GLP-1R agonists are part of the incretin class, which mimics the effects of hormones released after eating and are used to treat metabolic diseases. Certain injectable GLP-1R agonists have recently been approved for the treatment of diabetes and obesity. However, there continues to be significant interest by pharmaceutical companies in oral obesity medications given strong patient preference and fewer supply chain challenges compared to injectables, including cold-chain requirements and high manufacturing costs. </w:t>
      </w:r>
    </w:p>
    <w:p>
      <w:pPr>
        <w:pStyle w:val="TextBody"/>
        <w:bidi w:val="0"/>
        <w:spacing w:before="240" w:after="0"/>
        <w:jc w:val="both"/>
        <w:rPr>
          <w:rFonts w:ascii="Times New Roman" w:hAnsi="Times New Roman"/>
          <w:sz w:val="20"/>
        </w:rPr>
      </w:pPr>
      <w:r>
        <w:rPr>
          <w:rFonts w:ascii="Times New Roman" w:hAnsi="Times New Roman"/>
          <w:sz w:val="20"/>
        </w:rPr>
        <w:t xml:space="preserve">Despite the recent approvals of such injectable GLP-1R agonists, there remain important unmet needs for people struggling with obesity, including improved oral efficacy, tolerability and body composition: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32549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778500" cy="332549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Key unmet needs for weight loss regimens include increased weight loss in an all-oral regimen, improved tolerability and improved body composition.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Oral efficacy</w:t>
            </w:r>
            <w:r>
              <w:rPr>
                <w:rFonts w:ascii="Times New Roman" w:hAnsi="Times New Roman"/>
                <w:sz w:val="20"/>
              </w:rPr>
              <w:t xml:space="preserve">: Overall weight loss with oral incretins has lagged injectables, potentially because the most advanced orals have a single target (GLP-1R) whereas some injectables have combined multiple mechanisms. For example, subjects taking oral semaglutide (50 mg), currently the most advanced oral drug in this class, achieved 15.1% weight loss at week 68 compared to 20.9% at week 72 for patients being administered tirzepatide, (15 mg), a dual GLP-1R / GIP agonist, which is currently the leading weight loss injectable. Clinical trial results suggest efficacy of injectable incretins may increase further. For example, retatrutide, which combines three different incretin mechanisms, achieved 24.2% overall weight loss at week 48 in a Phase 2 clinical trial. Furthermore, oral doses that achieve more competitive efficacy have often been observed to come with the tradeoff of worsened tolerability.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Tolerability</w:t>
            </w:r>
            <w:r>
              <w:rPr>
                <w:rFonts w:ascii="Times New Roman" w:hAnsi="Times New Roman"/>
                <w:sz w:val="20"/>
              </w:rPr>
              <w:t xml:space="preserve">: Current GLP-1R agonists are not well-tolerated by all patients. Across obesity trials of injectable semaglutide and tirzepatide, up to 44% of subjects experienced gastrointestinal side effects such as nausea, diarrhea, and vomiting, which contributes to a discontinuation rate of up to 17%. The incidence of gastrointestinal adverse events is even higher with other oral GLP-1R agonists in late-stage third-party clinical trials. Because these adverse effects are dose-dependent, we believe combination approaches with APJ agonists may provide an opportunity to achieve weight reduction goals using a lower and therefore potentially more tolerable dose of GLP-1R agonists.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Body composition</w:t>
            </w:r>
            <w:r>
              <w:rPr>
                <w:rFonts w:ascii="Times New Roman" w:hAnsi="Times New Roman"/>
                <w:sz w:val="20"/>
              </w:rPr>
              <w:t xml:space="preserve">: The benefits of weight loss mediated by GLP-1R agonists can be compromised by suboptimal body compositionthe balance of lean and fat mass. In older patients, up to half of the weight loss is comprised of lean body mass, which is primarily muscle. Suboptimal body composition has been linked to several adverse treatment outcomes including rebound weight gain and impaired physical function, especially in older patients.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are currently planning Phase 2 clinical trials with azelaprag in combination with injectable GLP-1R agonists, as these drugs are approved, however our ultimate objective is to develop an all-oral weight loss combination with an oral incretin. Dosing oral incretin drugs in combination with orally administered azelaprag could provide well-tolerated weight loss in line with that achieved by injectable agonists alone, as well as superior body composition. </w:t>
      </w:r>
    </w:p>
    <w:p>
      <w:pPr>
        <w:pStyle w:val="TextBody"/>
        <w:bidi w:val="0"/>
        <w:spacing w:before="360" w:after="0"/>
        <w:jc w:val="left"/>
        <w:rPr>
          <w:rFonts w:ascii="Times New Roman" w:hAnsi="Times New Roman"/>
          <w:i/>
          <w:sz w:val="20"/>
        </w:rPr>
      </w:pPr>
      <w:r>
        <w:rPr>
          <w:rFonts w:ascii="Times New Roman" w:hAnsi="Times New Roman"/>
          <w:i/>
          <w:sz w:val="20"/>
        </w:rPr>
        <w:t xml:space="preserve">Our azelaprag clinical development strategy </w:t>
      </w:r>
    </w:p>
    <w:p>
      <w:pPr>
        <w:pStyle w:val="TextBody"/>
        <w:bidi w:val="0"/>
        <w:spacing w:before="120" w:after="0"/>
        <w:jc w:val="both"/>
        <w:rPr>
          <w:rFonts w:ascii="Times New Roman" w:hAnsi="Times New Roman"/>
          <w:sz w:val="20"/>
        </w:rPr>
      </w:pPr>
      <w:r>
        <w:rPr>
          <w:rFonts w:ascii="Times New Roman" w:hAnsi="Times New Roman"/>
          <w:sz w:val="20"/>
        </w:rPr>
        <w:t xml:space="preserve">We are initiating two Phase 2 clinical trials of azelaprag in combination with GLP-1R agonists. STRIDES, the first clinical trial, is an ongoing clinical trial in combination with tirzepatide in approximately 220 obese individuals aged 55 and over, an age group that represents 35-40% of the adult obese population in the US. We are initially focusing on these older patients because the strong muscle and metabolic benefits of azelaprag observed in our Phase 1b clinical trial were achieved in older patients. The goal of the STRIDES clinical trial is to establish proof of concept for enhanced weight loss. The primary endpoint of this trial will be weight loss at 24 weeks. In addition, biomarkers, changes in body composition and glucose control will be assessed as exploratory endpoints. We anticipate topline results in the third quarter of 2025. </w:t>
      </w:r>
    </w:p>
    <w:p>
      <w:pPr>
        <w:pStyle w:val="TextBody"/>
        <w:bidi w:val="0"/>
        <w:spacing w:before="240" w:after="0"/>
        <w:jc w:val="both"/>
        <w:rPr>
          <w:rFonts w:ascii="Times New Roman" w:hAnsi="Times New Roman"/>
          <w:sz w:val="20"/>
        </w:rPr>
      </w:pPr>
      <w:r>
        <w:rPr>
          <w:rFonts w:ascii="Times New Roman" w:hAnsi="Times New Roman"/>
          <w:sz w:val="20"/>
        </w:rPr>
        <w:t xml:space="preserve">We have a material transfer agreement with Lilly, under which Lilly has agreed to provide us with tirzepatide in connection with our STRIDES clinical trial of azelaprag in obesity. Lillys Chorus clinical development organization is advising and assisting on all aspects of the Phase 2 STRIDES clinical trial design and execution, enabling us to benefit from Lillys extensive clinical experience in this space, while retaining all rights to azelaprag. </w:t>
      </w:r>
    </w:p>
    <w:p>
      <w:pPr>
        <w:pStyle w:val="TextBody"/>
        <w:bidi w:val="0"/>
        <w:spacing w:before="240" w:after="0"/>
        <w:jc w:val="both"/>
        <w:rPr>
          <w:rFonts w:ascii="Times New Roman" w:hAnsi="Times New Roman"/>
          <w:sz w:val="20"/>
        </w:rPr>
      </w:pPr>
      <w:r>
        <w:rPr>
          <w:rFonts w:ascii="Times New Roman" w:hAnsi="Times New Roman"/>
          <w:sz w:val="20"/>
        </w:rPr>
        <w:t xml:space="preserve">The goals of our second Phase 2 clinical trial are to demonstrate: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GLP-1R-like agonist class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Efficacy in a wider population that includes younger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Overall weight loss achieved after 52 weeks of treatment.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that end, we intend to combine azelaprag with semaglutide in our second Phase 2 clinical trial and enroll approximately 300 obese individuals ages 18 and older. Trial initiation is anticipated in the first half of 2025 with topline results expected in the second half of 2026. The primary endpoint of this Phase 2 clinical trial will be weight loss at 52 weeks, with similar exploratory endpoints to the tirzepatide combination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While we are currently planning Phase 2 clinical trials with azelaprag in combination with injectable GLP-1R agonists, as these drugs are already approved, our ultimate objective is to develop an all-oral weight loss combination with an oral incretin. </w:t>
      </w:r>
    </w:p>
    <w:p>
      <w:pPr>
        <w:pStyle w:val="TextBody"/>
        <w:bidi w:val="0"/>
        <w:spacing w:before="240" w:after="0"/>
        <w:jc w:val="both"/>
        <w:rPr>
          <w:rFonts w:ascii="Times New Roman" w:hAnsi="Times New Roman"/>
          <w:sz w:val="20"/>
        </w:rPr>
      </w:pPr>
      <w:r>
        <w:rPr>
          <w:rFonts w:ascii="Times New Roman" w:hAnsi="Times New Roman"/>
          <w:sz w:val="20"/>
        </w:rPr>
        <w:t xml:space="preserve">In parallel, we intend to initiate an insulin sensitivity proof-of-concept trial of azelaprag monotherapy in the first half of 2025 to support potential indication expansion. We expect to report topline results from this proof-of-concept trial in the second half of 2025. The goal of this clinical trial is to assess the potential direct benefits of azelaprag, informing potential subsequent development for treatment of obesity with comorbid type 2 diabetes in combination with a GLP-1R agonist.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also developing orally available, brain-penetrant inhibitors of NLRP3, a key target for neuroinflammation </w:t>
      </w:r>
    </w:p>
    <w:p>
      <w:pPr>
        <w:pStyle w:val="TextBody"/>
        <w:bidi w:val="0"/>
        <w:spacing w:before="120" w:after="0"/>
        <w:jc w:val="both"/>
        <w:rPr>
          <w:rFonts w:ascii="Times New Roman" w:hAnsi="Times New Roman"/>
          <w:sz w:val="20"/>
        </w:rPr>
      </w:pPr>
      <w:r>
        <w:rPr>
          <w:rFonts w:ascii="Times New Roman" w:hAnsi="Times New Roman"/>
          <w:sz w:val="20"/>
        </w:rPr>
        <w:t xml:space="preserve">We are developing brain-penetrant, structurally novel small molecule inhibitors of NLRP3 that have a novel binding site. NLRP3 is a component of a multi-protein complex referred to as the inflammasome. Inactivation of NLRP3 in mice has been shown to significantly extend lifespan and sustain physical and cognitive function. NLRP3-driven neuroinflammation has been linked to both obesity and neurodegenerative diseases. We intend to submit an IND for an NLRP3 inhibitor with the FDA and, if cleared, initiate a Phase 1 trial to evaluate safety, tolerability, pharmacokinetics and pharmacodynamics in healthy volunteers. </w:t>
      </w:r>
    </w:p>
    <w:p>
      <w:pPr>
        <w:pStyle w:val="TextBody"/>
        <w:bidi w:val="0"/>
        <w:spacing w:before="360" w:after="0"/>
        <w:jc w:val="left"/>
        <w:rPr>
          <w:rFonts w:ascii="Times New Roman" w:hAnsi="Times New Roman"/>
          <w:b/>
          <w:sz w:val="20"/>
        </w:rPr>
      </w:pPr>
      <w:r>
        <w:rPr>
          <w:rFonts w:ascii="Times New Roman" w:hAnsi="Times New Roman"/>
          <w:b/>
          <w:sz w:val="20"/>
        </w:rPr>
        <w:t xml:space="preserve">Our team </w:t>
      </w:r>
    </w:p>
    <w:p>
      <w:pPr>
        <w:pStyle w:val="TextBody"/>
        <w:bidi w:val="0"/>
        <w:spacing w:before="120" w:after="0"/>
        <w:jc w:val="both"/>
        <w:rPr>
          <w:rFonts w:ascii="Times New Roman" w:hAnsi="Times New Roman"/>
          <w:sz w:val="20"/>
        </w:rPr>
      </w:pPr>
      <w:r>
        <w:rPr>
          <w:rFonts w:ascii="Times New Roman" w:hAnsi="Times New Roman"/>
          <w:sz w:val="20"/>
        </w:rPr>
        <w:t xml:space="preserve">We have assembled a leadership team of experts in aging biology and drug development. Our senior team consists of the following members: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Kristen Fortney, Ph.D., our Chief Executive Officer and co-founder. Dr. Fortney has extensive experience in aging biology, genetics and bioinformatics and systems biology from her work at Stanford and the University of Toronto.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Eric Morgen, M.D., our Chief Operating Officer and co-founder. Dr. Morgen was previously on the faculty at the University of Toronto, where his research focused on biomarker discovery and characterization in high-dimensional datasets from human cohorts.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Dov Goldstein, M.D., our Chief Financial Officer. Dr. Goldstein previously served as Chief Financial Officer at Vicuron Pharmaceuticals Inc. and Loxo Oncology Inc., as well as a Managing Partner at Aisling Capital. He was most recently the Chief Financial Officer and Chief Business Officer of Indapta Therapeutics,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Paul Rubin, M.D., our Chief Medical Officer. Dr. Rubin has over 35 years of experience in the biotechnology industry and has led 12 compounds to U.S. approval, with five led from discovery through approval, including Lunesta® and Xopenex®. He most recently served as Executive Vice President Research and Development at miRagen Therapeutics, Inc. and was previously Chief Medical Officer at XOMA Corporation and Executive Vice President Research and Development at Sepracor.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 Neale, our Chief Development Officer. Ms. Neale has over 30 years of experience in the biotechnology industry. She was most recently Senior Vice President of Development Operations at Principia BioPharma Inc. (acquired by Sanofi S.A.), where she led operations and resourcing strategy for multiple global early- and late-phase clinical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Peng Leong, Ph.D., our Chief Business Officer. Dr. Leong has extensive experience in the biotech industry, previously serving in healthcare investment banking at Piper Jaffray and as Head of General Medicine Business Development at Merck KgaA and Chief Business Officer at Kazia Therapeutics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BJ Sullivan, Ph.D., our Chief Strategy Officer. Dr. Sullivan was previously in L.E.K. Consultings life sciences practice, where he advised biopharma companies on growth strategy and M&amp;A.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George Hartman, Ph.D. leads our drug discovery efforts. Dr. Hartman is a co-founder of Novira Therapeutics, Inc. and previously served as executive director of medicinal chemistry at Merck &amp; Co., Inc. where he and his group identified and brought 12 drug candidates into Phase 2 or Phase 3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have raised over $300 million to date from a leading syndicate of biotechnology investors, including a16z Bio + Health, Khosla Ventures, Sofinnova Investments, Longitude Capital, RA Capital, Cormorant Asset Management, Kaiser Permanente, and Horsley Bridge.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both"/>
        <w:rPr>
          <w:rFonts w:ascii="Times New Roman" w:hAnsi="Times New Roman"/>
          <w:sz w:val="20"/>
        </w:rPr>
      </w:pPr>
      <w:r>
        <w:rPr>
          <w:rFonts w:ascii="Times New Roman" w:hAnsi="Times New Roman"/>
          <w:sz w:val="20"/>
        </w:rPr>
        <w:t xml:space="preserve">Our goal is to develop a focused portfolio of therapies for metabolic disease by targeting the biology of human aging. Below is a summary of key product candidate and platform differentiation.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05054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765800" cy="305054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strategy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Apply novel insights into aging biology to build a pipeline of therapeutics to transform the treatment of chronic metabolic diseases.</w:t>
            </w:r>
            <w:r>
              <w:rPr>
                <w:rFonts w:ascii="Times New Roman" w:hAnsi="Times New Roman"/>
                <w:sz w:val="20"/>
              </w:rPr>
              <w:t xml:space="preserve"> Our platform provides unique insights into human aging biology spanning over 50 years. These insights enabled the identification of both apelin and NLRP3 as targets. We also have several discovery-stage programs targeting this novel biology, which we will continue to advance. We plan to grow this pipeline over time, both internally and potentially through partnerships with pharmaceutical companies that have complementary datasets and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Efficiently advance the clinical development of azelaprag as a novel exercise mimetic for the treatment of obesity. </w:t>
            </w:r>
            <w:r>
              <w:rPr>
                <w:rFonts w:ascii="Times New Roman" w:hAnsi="Times New Roman"/>
                <w:sz w:val="20"/>
              </w:rPr>
              <w:t xml:space="preserve">We believe that azelaprag has the potential to transform the treatment of obesity by increasing weight loss quantity and quality. We have initiated a Phase 2 clinical trial of azelaprag in obese adults 55 years of age and above in combination with tirzepatide. Topline results are anticipated in the third quarter of 2025. We intend to initiate a second Phase 2 clinical trial of azelaprag in combination with semaglutide with the goal of demonstrating a GLP-1R class effect and efficacy in younger individuals, 18 of age and above. Initiation is anticipated in the first half of 2025 and topline results expected in the second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Establish azelaprag as a key component of all-oral obesity therapy. </w:t>
            </w:r>
            <w:r>
              <w:rPr>
                <w:rFonts w:ascii="Times New Roman" w:hAnsi="Times New Roman"/>
                <w:sz w:val="20"/>
              </w:rPr>
              <w:t xml:space="preserve">We believe that our ongoing and planned Phase 2 clinical trials of azelaprag in combination with a subcutaneous GLP-1R agonist will provide valuable readthrough and serve as a key step in advancing a tolerable, all-oral, combination therapy for obesity that has the potential to rival and exceed the efficacy of currently marketed injectable therapies.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Maximize the potential of azelaprag in adjacent indications, including diabetes. </w:t>
            </w:r>
            <w:r>
              <w:rPr>
                <w:rFonts w:ascii="Times New Roman" w:hAnsi="Times New Roman"/>
                <w:sz w:val="20"/>
              </w:rPr>
              <w:t xml:space="preserve">We believe azelaprag has the potential for additive efficacy in all indications where GLP-1R agonists have been shown to benefit patients. Additionally, we believe azelaprag has the potential to improve insulin sensitivity and glucose control incremental to that achieved with weight loss and thus has significant potential value to obese individuals with comorbid type 2 diabetes. We intend to initiate an insulin sensitivity proof-of-concept trial of azelaprag monotherapy in the first half of 2025. We expect to report topline results from this proof-of-concept trial in the second half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b/>
                <w:sz w:val="20"/>
              </w:rPr>
              <w:t>Advance our orally available, brain-penetrant inhibitors of NLRP3 for the treatment of neuroinflammation.</w:t>
            </w:r>
            <w:r>
              <w:rPr>
                <w:rFonts w:ascii="Times New Roman" w:hAnsi="Times New Roman"/>
                <w:sz w:val="20"/>
              </w:rPr>
              <w:t xml:space="preserve"> We have internally discovered a potent, selective, and structurally novel inhibitor of NLRP3, with potential to treat the neuroinflammation that has been linked to both metabolic and neurodegenerative diseases. We intend to submit an IND for an NLRP3 inhibitor by the second half of 2025 and, if cleared, initiate a Phase 1 clinical trial of our highly differentiated brain-penetrant NLRP3 inhibitor, in the first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Selectively partner our product candidates to maximize patient impact and shareholder value.</w:t>
            </w:r>
            <w:r>
              <w:rPr>
                <w:rFonts w:ascii="Times New Roman" w:hAnsi="Times New Roman"/>
                <w:sz w:val="20"/>
              </w:rPr>
              <w:t xml:space="preserve"> According to third-party estimates, the global market opportunity for metabolic diseases is very large, with GLP-1Rs and incretins obesity alone expected to grow to $150 billion by 2031. Given the resulting activity and investment of pharmaceutical companies in the therapeutic area, we may selectively partner our product candidates to accelerate the path to market in multiple large indications and maximize shareholder value.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Approach: Targeting aging biology to treat chronic metabolic diseases </w:t>
      </w:r>
    </w:p>
    <w:p>
      <w:pPr>
        <w:pStyle w:val="TextBody"/>
        <w:bidi w:val="0"/>
        <w:spacing w:before="120" w:after="0"/>
        <w:jc w:val="both"/>
        <w:rPr>
          <w:rFonts w:ascii="Times New Roman" w:hAnsi="Times New Roman"/>
          <w:sz w:val="20"/>
        </w:rPr>
      </w:pPr>
      <w:r>
        <w:rPr>
          <w:rFonts w:ascii="Times New Roman" w:hAnsi="Times New Roman"/>
          <w:sz w:val="20"/>
        </w:rPr>
        <w:t xml:space="preserve">Aging is a root cause of metabolic diseases. Obesity, type 2 diabetes, metabolic dysfunction-associated steatohepatitis and atherosclerosis are all strongly associated with age, with prevalence rising sharply after middle age. Globally, over 875 million adults age 20+ are obese. Among obese patients, the prevalence of cardiometabolic morbidities is high. Obesity itself has been described as an accelerated aging condition, as it increases the risk of both morbidity and mortality from age-related chronic disease.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323405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779135" cy="32340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Global prevalence of obesity and major comorbidities. MASH = Metabolic dysfunction-associated steatohepatitis. Heart disease includes congestive heart failure (3.5%), ischemic heart disease (8%) and myocardial infarction (21%).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approach to improving metabolic health span starts with human data. To identify biological pathways that promote healthy aging, we have generated proprietary longitudinal human datasets comprising clinical measures and molecular data  including deep profiling of circulating proteins and metabolites  from biobanked samples collected serially over decades. By analyzing the aging trajectories of thousands of individuals at the molecular and phenotypic level, we can take advantage of the natural variation in human aging biology and outcomes to identify the special molecular features of people who age well, with greater longevity and delayed onset of disability and disease. Through these analyses, we have discovered key pathways and targets, such as apelin signaling, which is targeted by our lead product candidate azelaprag, with the potential to preserve metabolic health over the course of aging.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6755" cy="404622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786755" cy="404622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We capture a range of aging outcomes in our human aging cohorts, including functional and cognitive decline, disease incidence and mortality. In this example, deep, serial profiling of circulating proteins in these participants was used to understand the biology that drives these outcomes. </w:t>
      </w:r>
    </w:p>
    <w:p>
      <w:pPr>
        <w:pStyle w:val="TextBody"/>
        <w:bidi w:val="0"/>
        <w:spacing w:before="240" w:after="0"/>
        <w:jc w:val="both"/>
        <w:rPr>
          <w:rFonts w:ascii="Times New Roman" w:hAnsi="Times New Roman"/>
          <w:sz w:val="20"/>
        </w:rPr>
      </w:pPr>
      <w:r>
        <w:rPr>
          <w:rFonts w:ascii="Times New Roman" w:hAnsi="Times New Roman"/>
          <w:sz w:val="20"/>
        </w:rPr>
        <w:t xml:space="preserve">Our human data-driven approach enables us to prioritize metabolic aging targets which we believe have a higher probability of translational success. Drug targets with support from human genetic studies are more than twice as likely to be approved than targets that lack such validation, highlighting the value of human molecular evidence. We believe our focus on molecular pathway activity during the course of healthy human aging allows the selection of targets for which long-term modulation is predicted to be safe and effective. By analyzing metabolic disease through the lens of human aging, we seek to develop therapeutics that activate beneficial pathways, or inhibit deleterious ones, with the potential to prevent or reverse diseases and improve overall health.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Levels of the exercise-secreted protein apelin predicted both function and longevity in our longitudinal human aging cohorts </w:t>
      </w:r>
    </w:p>
    <w:p>
      <w:pPr>
        <w:pStyle w:val="TextBody"/>
        <w:bidi w:val="0"/>
        <w:spacing w:before="120" w:after="0"/>
        <w:jc w:val="both"/>
        <w:rPr>
          <w:rFonts w:ascii="Times New Roman" w:hAnsi="Times New Roman"/>
          <w:sz w:val="20"/>
        </w:rPr>
      </w:pPr>
      <w:r>
        <w:rPr>
          <w:rFonts w:ascii="Times New Roman" w:hAnsi="Times New Roman"/>
          <w:sz w:val="20"/>
        </w:rPr>
        <w:t xml:space="preserve">The aging process is characterized by profound dysregulation in many biological systems. Using a systems biology approach and examining protein network changes over decades in our longitudinal human aging cohorts, we found that the apelin protein network was highly significantly altered with aging, ranking second among proteins whose overall levels also significantly change with age.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199644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779135" cy="199644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Protein networks change with age: their pattern of connectivity to other proteins is altered and dysregulated over time. Apelin (APLN) signaling is among the most dysregulated over 20 years of aging in our longitudinal human aging cohorts. It ranks second among proteins whose levels also significantly change over those 20 years. NOTCH1, the most dysregulated protein in our analysis, is a well-established mediator of age-related disease. </w:t>
      </w:r>
    </w:p>
    <w:p>
      <w:pPr>
        <w:pStyle w:val="TextBody"/>
        <w:bidi w:val="0"/>
        <w:spacing w:before="240" w:after="0"/>
        <w:jc w:val="both"/>
        <w:rPr>
          <w:rFonts w:ascii="Times New Roman" w:hAnsi="Times New Roman"/>
          <w:sz w:val="20"/>
        </w:rPr>
      </w:pPr>
      <w:r>
        <w:rPr>
          <w:rFonts w:ascii="Times New Roman" w:hAnsi="Times New Roman"/>
          <w:sz w:val="20"/>
        </w:rPr>
        <w:t xml:space="preserve">Furthermore, we then observed that higher levels of circulating apelin were associated with both increased longevity and preservation of physical function (i.e., subjects with higher apelin levels lived longer, with improved health). We also observed that apelin levels are significantly associated with a range of metabolic traits in our human aging cohorts. These results led us to the therapeutic hypothesis that augmenting apelin signaling could provide therapeutic benefits in age-related disease.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31330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779135" cy="231330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Higher apelin protein levels predicted improved longevity and grip strength in our human aging cohorts (left). Levels were also associated with traits related to muscle function, adiposity, glucose control, and longevity (right). Glucose and insulin control measure the ability to regulate blood glucose increases via insulin secretion after a glucose challenge.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Enhancing apelin signaling can recapitulate many of the benefits of exercise </w:t>
      </w:r>
    </w:p>
    <w:p>
      <w:pPr>
        <w:pStyle w:val="TextBody"/>
        <w:bidi w:val="0"/>
        <w:spacing w:before="120" w:after="0"/>
        <w:jc w:val="both"/>
        <w:rPr>
          <w:rFonts w:ascii="Times New Roman" w:hAnsi="Times New Roman"/>
          <w:sz w:val="20"/>
        </w:rPr>
      </w:pPr>
      <w:r>
        <w:rPr>
          <w:rFonts w:ascii="Times New Roman" w:hAnsi="Times New Roman"/>
          <w:sz w:val="20"/>
        </w:rPr>
        <w:t xml:space="preserve">Apelin is a peptide hormone referred to as an exerkine, a signaling molecule released by skeletal muscle in response to exercise that mediates many of the beneficial metabolic and functional adaptations to physical activity. </w:t>
      </w:r>
    </w:p>
    <w:p>
      <w:pPr>
        <w:pStyle w:val="TextBody"/>
        <w:bidi w:val="0"/>
        <w:spacing w:before="240" w:after="0"/>
        <w:jc w:val="both"/>
        <w:rPr>
          <w:rFonts w:ascii="Times New Roman" w:hAnsi="Times New Roman"/>
          <w:sz w:val="20"/>
        </w:rPr>
      </w:pPr>
      <w:r>
        <w:rPr>
          <w:rFonts w:ascii="Times New Roman" w:hAnsi="Times New Roman"/>
          <w:sz w:val="20"/>
        </w:rPr>
        <w:t xml:space="preserve">Comparing the physiological effects of enhanced apelin signaling to those of exercise reveals multiple areas of overlap: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Both apelin and exercise have a beneficial effect on body composition, improving the ratio of lean to fat mass. The proportion of lean mass is a very strong predictor of functional capacity, metabolic health, and cardiovascular outcomes than (and more predictive absolute lean mass or absolute fat mass).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skeletal muscle, both apelin signaling and exercise boost protein synthesis, mitochondrial biogenesis and basal metabolic rate, thereby increasing resting energy expenditure.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both muscle and adipose tissue, apelin and exercise increase insulin sensitivity, resulting in upregulation of glucose uptake and metabolism.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This striking congruence between the actions of apelin and exercise suggests that this peptide acts as a key molecular transducer of the systemic exercise response, and that targeting the apelin/APJ axis may be able to mimic many of the benefits of physical activity sometimes referred to as exercise in a pill.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401185" cy="320929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4401185" cy="32092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16"/>
        </w:rPr>
      </w:pPr>
      <w:r>
        <w:rPr>
          <w:rFonts w:ascii="Times New Roman" w:hAnsi="Times New Roman"/>
          <w:i/>
          <w:sz w:val="16"/>
        </w:rPr>
        <w:t xml:space="preserve">Apelin and exercise have similar physiological benefits. </w:t>
      </w:r>
    </w:p>
    <w:p>
      <w:pPr>
        <w:pStyle w:val="TextBody"/>
        <w:bidi w:val="0"/>
        <w:spacing w:before="240" w:after="0"/>
        <w:jc w:val="both"/>
        <w:rPr>
          <w:rFonts w:ascii="Times New Roman" w:hAnsi="Times New Roman"/>
          <w:sz w:val="20"/>
        </w:rPr>
      </w:pPr>
      <w:r>
        <w:rPr>
          <w:rFonts w:ascii="Times New Roman" w:hAnsi="Times New Roman"/>
          <w:sz w:val="20"/>
        </w:rPr>
        <w:t xml:space="preserve">Exercise ameliorates many of the negative health outcomes associated with aging. Circulating apelin levels increase acutely after exercise, with the magnitude of this response strongly predicting physical performance in older adults.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575050" cy="28162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3575050" cy="281622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In a third-party preclinical study, apelin levels were significantly correlated with the benefits of exercise over 6 months. Older people (&gt; 70y) with the greatest increase in plasma apelin levels after 6 months of an exercise program had the highest improvement in Short Physical Performance Battery (SPPB) test score. Apelin measurements were taken from 34 individuals. r2 represents the correlation coefficient, a statistical measure of the strength of a linear relationship between two variables. A correlation coefficient of -1 describes a perfect negative, or inverse, correlation. A coefficient of 1 shows a perfect positive correlation, or a direct relationship. A correlation coefficient of 0 means there is no linear relationship. The p-value is used to determine the probability as to whether the difference between two data sets is due to chance. The smaller the p-value, the more likely the differences are not due to chance alone. In general, if the p-value is less than or equal to 0.05, the outcome is considered statistically significant. (Source: Vinel et al. 2018). </w:t>
      </w:r>
    </w:p>
    <w:p>
      <w:pPr>
        <w:pStyle w:val="TextBody"/>
        <w:bidi w:val="0"/>
        <w:spacing w:before="240" w:after="0"/>
        <w:jc w:val="both"/>
        <w:rPr>
          <w:rFonts w:ascii="Times New Roman" w:hAnsi="Times New Roman"/>
          <w:sz w:val="20"/>
        </w:rPr>
      </w:pPr>
      <w:r>
        <w:rPr>
          <w:rFonts w:ascii="Times New Roman" w:hAnsi="Times New Roman"/>
          <w:sz w:val="20"/>
        </w:rPr>
        <w:t xml:space="preserve">However, both basal levels of apelin and the degree of exercise-induced elevation of the peptide decline with age, coinciding with deterioration of fitness and muscle function.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8890" cy="31210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3818890" cy="31210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i/>
          <w:sz w:val="16"/>
        </w:rPr>
      </w:pPr>
      <w:r>
        <w:rPr>
          <w:rFonts w:ascii="Times New Roman" w:hAnsi="Times New Roman"/>
          <w:i/>
          <w:sz w:val="16"/>
        </w:rPr>
        <w:t xml:space="preserve">In a third-party preclinical study, apelin expression in mice significantly decreased with age (n= 6 mice per group). There was also a lower magnitude increase in apelin expression in response to exercise with age, with no significant increase observed in the 24 month group. In mice, 12 months represents middle age and 24 months old age. #p&lt; 0.05; *p&lt; 0.05; ** p&lt; 0.01. (Source: Vinel et al. 2018). </w:t>
      </w:r>
    </w:p>
    <w:p>
      <w:pPr>
        <w:pStyle w:val="TextBody"/>
        <w:bidi w:val="0"/>
        <w:spacing w:before="240" w:after="0"/>
        <w:jc w:val="both"/>
        <w:rPr>
          <w:rFonts w:ascii="Times New Roman" w:hAnsi="Times New Roman"/>
          <w:sz w:val="20"/>
        </w:rPr>
      </w:pPr>
      <w:r>
        <w:rPr>
          <w:rFonts w:ascii="Times New Roman" w:hAnsi="Times New Roman"/>
          <w:sz w:val="20"/>
        </w:rPr>
        <w:t xml:space="preserve">The relationship between apelin, exercise and function over the lifespan, taken together with the correlation between apelin levels and muscle-related health parameters observed in our longitudinal cohorts, suggest that apelin may help mediate the beneficial anti-aging effects of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Apelin activates key metabolic regulators AMPK, PI3K, and ERK </w:t>
      </w:r>
    </w:p>
    <w:p>
      <w:pPr>
        <w:pStyle w:val="TextBody"/>
        <w:bidi w:val="0"/>
        <w:spacing w:before="120" w:after="0"/>
        <w:jc w:val="both"/>
        <w:rPr>
          <w:rFonts w:ascii="Times New Roman" w:hAnsi="Times New Roman"/>
          <w:sz w:val="20"/>
        </w:rPr>
      </w:pPr>
      <w:r>
        <w:rPr>
          <w:rFonts w:ascii="Times New Roman" w:hAnsi="Times New Roman"/>
          <w:sz w:val="20"/>
        </w:rPr>
        <w:t xml:space="preserve">The molecular mechanisms of apelin pathway signaling are well characterized. As depicted in the figure below, the physiological effects of apelin in target cells are mediated by the apelin receptor (APJ/APLNR), a G protein-coupled receptor that activates multiple intracellular signaling pathways including AMP-activated protein kinase (AMPK) and PI3K. In parallel, via recruitment of ß-arrestin upon apelin binding, APJ activates extracellular signal regulated kinase (ERK). These pathways are involved in metabolic processes consistent with apelins role as an exerkine, including glucose uptake, mitochondrial biogenesis, and fatty acid oxidation.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105400" cy="428307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105400" cy="428307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APJ is a G protein-coupled receptor that signals through AMPK and PI3K. AMPK and PI3K activate downstream effectors Akt and endothelial nitric oxide synthase (eNOS), which increase cellular glucose uptake. AMPK activates transcriptional coactivator PCG1-a, which increases mitochondrial biogenesis. AMPK directly increases fatty acid oxidation. APJ also activates ERK signaling through ß-arrestin. (Source: Bertrand et al. 2015).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Azelaprag: an oral small molecule apelin receptor agonist </w:t>
      </w:r>
    </w:p>
    <w:p>
      <w:pPr>
        <w:pStyle w:val="TextBody"/>
        <w:bidi w:val="0"/>
        <w:spacing w:before="120" w:after="0"/>
        <w:jc w:val="both"/>
        <w:rPr>
          <w:rFonts w:ascii="Times New Roman" w:hAnsi="Times New Roman"/>
          <w:sz w:val="20"/>
        </w:rPr>
      </w:pPr>
      <w:r>
        <w:rPr>
          <w:rFonts w:ascii="Times New Roman" w:hAnsi="Times New Roman"/>
          <w:sz w:val="20"/>
        </w:rPr>
        <w:t xml:space="preserve">The data supporting the importance of apelin in metabolism suggests that apelin signaling has strong potential to be targeted for therapeutic purposes. However, the most common form of apelin peptide, apelin-13, has poor drug-like properties. Azelaprag, previously known as AMG 986 and BGE-105, is an investigational oral small molecule apelin receptor agonist designed with improved pharmacokinetic properties, including high potency and half-life that enables once daily dosing. Azelaprag also has a favorable preclinical safety profile: the no observed adverse effect level (NOAEL) in good laboratory practice (GLP) toxicology studies was the highest dose tested in both species (i.e., no dose-limiting toxicity was observed in preclinical studies). These findings are consistent with its clinical tolerability profile, as no treatment-related trends in adverse events have been observed. </w:t>
      </w:r>
    </w:p>
    <w:p>
      <w:pPr>
        <w:pStyle w:val="TextBody"/>
        <w:bidi w:val="0"/>
        <w:spacing w:before="240" w:after="0"/>
        <w:jc w:val="both"/>
        <w:rPr>
          <w:rFonts w:ascii="Times New Roman" w:hAnsi="Times New Roman"/>
          <w:sz w:val="20"/>
        </w:rPr>
      </w:pPr>
      <w:r>
        <w:rPr>
          <w:rFonts w:ascii="Times New Roman" w:hAnsi="Times New Roman"/>
          <w:sz w:val="20"/>
        </w:rPr>
        <w:t xml:space="preserve">We obtained an exclusive worldwide license from Amgen in 2021 to develop azelapragas well as Amgens patent estate of APJ agonistsfor all indications. We generated human clinical data where we observed the ability of azelaprag to maintain metabolism and preserve muscle in a bed rest trial. We have demonstrated in preclinical studies the potential of azelaprag to improve weight loss and restore both body composition and muscle function when administered in combination with tirzepatide or semaglutide. We are now in a position to assess the efficacy and tolerability of azelaprag in combination with these GLP-1R agonists in Phase 2 clinical trials in obese adults with the first of these trials anticipated to     .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Completed clinical trials </w:t>
      </w:r>
    </w:p>
    <w:p>
      <w:pPr>
        <w:pStyle w:val="TextBody"/>
        <w:bidi w:val="0"/>
        <w:spacing w:before="120" w:after="0"/>
        <w:jc w:val="both"/>
        <w:rPr>
          <w:rFonts w:ascii="Times New Roman" w:hAnsi="Times New Roman"/>
          <w:sz w:val="20"/>
        </w:rPr>
      </w:pPr>
      <w:r>
        <w:rPr>
          <w:rFonts w:ascii="Times New Roman" w:hAnsi="Times New Roman"/>
          <w:sz w:val="20"/>
        </w:rPr>
        <w:t xml:space="preserve">In the eight Phase 1 clinical trials of azelaprag completed to date by us and Amgen, azelaprag was well-tolerated in 265 individuals who received a daily dose of up to 1,440 mg for up to 21 days. Below is a summary of clinical trials completed to date: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91985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5778500" cy="39198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Azelaprag has been studied in eight Phase 1 trials to date, conducted by BioAge and Amgen. HVs = healthy volunteers. LD = loading dose &amp; MD = maintenance dose, used in the IV administration setting. In all trials, primary and secondary objectives were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overall adverse event profile of azelaprag was comparable to placebo, with no treatment-related trends in adverse events observed, with the exception of mild, self-limited headaches. No serious adverse events have been reported. Furthermore, no adverse cardiac effects have been observed in any clinical or preclinical setting. </w:t>
      </w:r>
    </w:p>
    <w:p>
      <w:pPr>
        <w:pStyle w:val="TextBody"/>
        <w:bidi w:val="0"/>
        <w:spacing w:before="240" w:after="0"/>
        <w:jc w:val="both"/>
        <w:rPr>
          <w:rFonts w:ascii="Times New Roman" w:hAnsi="Times New Roman"/>
          <w:sz w:val="20"/>
        </w:rPr>
      </w:pPr>
      <w:r>
        <w:rPr>
          <w:rFonts w:ascii="Times New Roman" w:hAnsi="Times New Roman"/>
          <w:sz w:val="20"/>
        </w:rPr>
        <w:t xml:space="preserve">The figure below summarizes treatment-emergent adverse events reported in &gt;3% of subjects: headache, dizziness and back pain. Dizziness and back pain were both reported at a higher rate in placebo than active groups. All events were mild except for a single moderate headache event reported in both the active and placebo groups. All events were self-limited.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80230" cy="358203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4380230" cy="35820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16"/>
        </w:rPr>
      </w:pPr>
      <w:r>
        <w:rPr>
          <w:rFonts w:ascii="Times New Roman" w:hAnsi="Times New Roman"/>
          <w:i/>
          <w:sz w:val="16"/>
        </w:rPr>
        <w:t xml:space="preserve">Azelaprag has been well-tolerated in 265 individuals in Phase 1 clinical trials, with no serious treatment-emergent adverse events reported. </w:t>
      </w:r>
    </w:p>
    <w:p>
      <w:pPr>
        <w:pStyle w:val="TextBody"/>
        <w:bidi w:val="0"/>
        <w:spacing w:before="240" w:after="0"/>
        <w:jc w:val="both"/>
        <w:rPr>
          <w:rFonts w:ascii="Times New Roman" w:hAnsi="Times New Roman"/>
          <w:sz w:val="20"/>
        </w:rPr>
      </w:pPr>
      <w:r>
        <w:rPr>
          <w:rFonts w:ascii="Times New Roman" w:hAnsi="Times New Roman"/>
          <w:sz w:val="20"/>
        </w:rPr>
        <w:t xml:space="preserve">We completed a double-blind, non-randomized Phase 1b bed rest atrophy trial of azelaprag in 21 healthy individuals 65 years of age or older. Bed rest studies are a well-established method to model muscle and functional aging on a compressed timeline. For example, a prior trial conducted by Amgen reported that 10 days of bed rest in older volunteers reduced protein synthesis and lean mass in lower extremities. Another trial reported that 10 days of bed rest in older volunteers substantially lowers oxidative metabolism. </w:t>
      </w:r>
    </w:p>
    <w:p>
      <w:pPr>
        <w:pStyle w:val="TextBody"/>
        <w:bidi w:val="0"/>
        <w:spacing w:before="240" w:after="0"/>
        <w:jc w:val="both"/>
        <w:rPr>
          <w:rFonts w:ascii="Times New Roman" w:hAnsi="Times New Roman"/>
          <w:sz w:val="20"/>
        </w:rPr>
      </w:pPr>
      <w:r>
        <w:rPr>
          <w:rFonts w:ascii="Times New Roman" w:hAnsi="Times New Roman"/>
          <w:sz w:val="20"/>
        </w:rPr>
        <w:t xml:space="preserve">In our Phase 1b clinical trial, subjects on bed rest for 10 days received daily doses of 240 mg azelaprag or placebo delivered by intravenous infusion. The primary objective of the trial was to assess the tolerability of azelaprag. We also selected secondary endpoints to examine the effects of azelaprag on muscle size, muscle quality and metabolism.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observed that treatment with azelaprag significantly decreased (p&lt;0.05) bed-rest-induced muscle atrophy across endpoints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50571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5779135" cy="25057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16"/>
        </w:rPr>
      </w:pPr>
      <w:r>
        <w:rPr>
          <w:rFonts w:ascii="Times New Roman" w:hAnsi="Times New Roman"/>
          <w:i/>
          <w:sz w:val="16"/>
        </w:rPr>
        <w:t xml:space="preserve">Overview endpoints and significance of results from the azelaprag bed rest atrophy Phase 1b trial. </w:t>
      </w:r>
    </w:p>
    <w:p>
      <w:pPr>
        <w:pStyle w:val="TextBody"/>
        <w:bidi w:val="0"/>
        <w:spacing w:before="240" w:after="0"/>
        <w:jc w:val="both"/>
        <w:rPr>
          <w:rFonts w:ascii="Times New Roman" w:hAnsi="Times New Roman"/>
          <w:sz w:val="20"/>
        </w:rPr>
      </w:pPr>
      <w:r>
        <w:rPr>
          <w:rFonts w:ascii="Times New Roman" w:hAnsi="Times New Roman"/>
          <w:sz w:val="20"/>
        </w:rPr>
        <w:t xml:space="preserve">Bed rest often results in rapid muscle atrophy, especially in older people. In our Phase 1b clinical trial, 10 days of bed rest led to a mean decrease of 6.4% in thigh circumference in subjects that received placebo. By contrast, we observed no significant decrease in thigh circumference in subjects dosed with azelaprag. We also measured the size of the vastus lateralis, the largest and most powerful part of the quadriceps femoris, a muscle in the thigh. 10 days of bed rest led to a decrease in the diameter and cross-sectional area of this muscle of approximately 20% as measured by ultrasound in the placebo treatment group. In contrast, treatment with azelaprag resulted in significantly less muscle loss, with observed decreases of 6-8%.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89623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5765800" cy="289623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 decrease in thigh circumference (p&lt;0.001), as well as in muscle diameter and thickness (p&lt;0.01) and cross-sectional area (p&lt;0.05) of the vastus lateralis muscle was observed in subjects on bed rest with azelaprag.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Muscle function and metabolism are determined not only by muscle size but also by muscle quality. On bed rest, muscle quality often deteriorates as muscle fibers experience degeneration and infiltration with fat. Collectively, this results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contractile fibers and force generation potential. As a result, muscle quality is highly correlated to muscle function.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Decreased energy expenditure of the muscle tissue. As a result, worsened muscle quality is linked to a lower basal metabolic rate and impaired insulin sensitivity.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our Phase 1b clinical trial, we measured the density of muscle tissue via ultrasound (i.e., echo density). Muscle echo density is a proxy measurement for muscle quality: fat infiltration and fibrosis reduce the density of muscle as measured with ultrasound (see representative images in the figure below). At baseline, all but one subject in the azelaprag treatment group showed normal muscle quality, as measured by echo density. Over 10 days of bed rest, eight of 10 placebo-treated subjects showed reduced muscle quality, consistent with previous reports describing fat infiltration of the muscle in acute bed rest. In contrast, this worsening of muscle quality was seen in only one of 11 azelaprag-treated subjects, representing a highly statistically significant difference (p &lt; 0.005).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4040" cy="264858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5654040" cy="264858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Representative muscle ultrasound images representing normal and abnormal echo density / muscle quality, as well as the anatomical location where the images were captured (left). Azelaprag was shown to significantly reduce worsening of muscle quality that is a hallmark of bed rest (right). p&lt;0.005. </w:t>
      </w:r>
    </w:p>
    <w:p>
      <w:pPr>
        <w:pStyle w:val="TextBody"/>
        <w:bidi w:val="0"/>
        <w:spacing w:before="240" w:after="0"/>
        <w:jc w:val="both"/>
        <w:rPr>
          <w:rFonts w:ascii="Times New Roman" w:hAnsi="Times New Roman"/>
          <w:sz w:val="20"/>
        </w:rPr>
      </w:pPr>
      <w:r>
        <w:rPr>
          <w:rFonts w:ascii="Times New Roman" w:hAnsi="Times New Roman"/>
          <w:sz w:val="20"/>
        </w:rPr>
        <w:t xml:space="preserve">Muscle protein synthesis is a metabolically expensive process that supports maintenance of muscle mass. On bed rest, protein synthesis can drop up to 40%. Treatment with azelaprag resulted in higher muscle protein synthesis rates compared to placebo, whether analyzed by protein or by subject. Synthesis rates during the trial were measured directly in biopsies of the vastus lateralis muscle.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Protein-level analysis</w:t>
            </w:r>
            <w:r>
              <w:rPr>
                <w:rFonts w:ascii="Times New Roman" w:hAnsi="Times New Roman"/>
                <w:sz w:val="20"/>
              </w:rPr>
              <w:t xml:space="preserve">: Across the 38 proteins measured in all subjects, the rate of synthesis for each protein was almost always higher in azelaprag-treated subjects, including for all of the nine proteins with statistically significant differences between treatment groups.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Subject-level analysis</w:t>
            </w:r>
            <w:r>
              <w:rPr>
                <w:rFonts w:ascii="Times New Roman" w:hAnsi="Times New Roman"/>
                <w:sz w:val="20"/>
              </w:rPr>
              <w:t xml:space="preserve">: We calculated a pooled score representing the synthesis rate across all detected proteins for a given subject. This showed a strong and statistically significant difference between treatment groups, highlighting the higher protein synthesis scores in azelaprag-treated subjects relative to placebo treated subjects.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470916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5779135" cy="470916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Azelaprag treatment led to a significant relative increase in muscle protein synthesis, both in individual proteins measured (top) and when proteins are pooled by subject (bottom). p&lt;0.005 based on a t-test comparing per-patient normalized FSR values across all common proteins (N=38). * p &lt; 0.05 for individual proteins. </w:t>
      </w:r>
    </w:p>
    <w:p>
      <w:pPr>
        <w:pStyle w:val="TextBody"/>
        <w:bidi w:val="0"/>
        <w:spacing w:before="240" w:after="0"/>
        <w:jc w:val="both"/>
        <w:rPr>
          <w:rFonts w:ascii="Times New Roman" w:hAnsi="Times New Roman"/>
          <w:sz w:val="20"/>
        </w:rPr>
      </w:pPr>
      <w:r>
        <w:rPr>
          <w:rFonts w:ascii="Times New Roman" w:hAnsi="Times New Roman"/>
          <w:sz w:val="20"/>
        </w:rPr>
        <w:t xml:space="preserve">We also performed deep profiling of circulating proteins in subjects in our Phase 1b clinical trial. Proteomic profiling was performed using the SomaLogic SomaScan platform, which measures levels of &gt;7,000 circulating proteins. The resulting protein profiles enabled us to predict potential benefits of azelaprag beyond those directly measured in the trial, by assessing protein biomarker models of specific functional outcomes.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Predictive modeling identified several metabolic benefits following treatment with azelaprag, including increased energy expenditure and improved physical performance. We used SomaSignal predictive models to estimate resting energy expenditure (REE) and cardiorespiratory fitness (VO2 max) for each subject at multiple time points during the study based on their biomarker profile. These SomaSignal models were previously trained and tested by Somalogic in participants where both biomarkers and clinical measurements were collected in the same individuals. In the placebo group, both predicted REE and VO2 max declined dramatically, whereas azelaprag-treated subjects were largely protected from these declines.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12229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5765800" cy="312229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Azelaprag had significant and beneficial effects on predicted REE and VO2 max, protecting against the detrimental effects of bedrest-associated decline. These predictions were made using SomaLogic SomaSignal models. The REE model was trained on N=9,022 adults with an r2=0.46. The VO2 max model was trained on N=743 adults with an r2 of 0.75.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Azelaprag treatment recapitulated the molecular effects of exercise. We compared azelaprag treatment and exercise based on the changes they induce in circulating protein levels. We found that azelaprag recapitulated many previously observed protein changes induced by exercise: many of the proteins increased by endurance exercise were also increased by azelaprag, with four times substantially more overlap than would be expected by chance alone (p=1.5x10-24) in an enrichment analysis.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953385"/>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5779135" cy="295338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Consistent with azelaprag having the ability to potentially mimic certain biological effects of exercise, there was a strong and statistically significant overlap between circulating proteins increased in azelaprag-treated subjects in our Phase 1b bed rest trial and those increased by endurance exercise.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Azelaprag treatment recapitulated molecular effects associated with health outcomes in our longitudinal human aging cohorts. Changes in circulating proteins with azelaprag treatment were associated with healthier function across several dimensions in our human aging cohorts, including tolerance of strenuous activity (p=3.3x10-24) and greater longevity (p=9.7x10-20).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Azelaprag for obesity: Genetic evidence supports the potential of azelaprag to improve metabolism </w:t>
      </w:r>
    </w:p>
    <w:p>
      <w:pPr>
        <w:pStyle w:val="TextBody"/>
        <w:bidi w:val="0"/>
        <w:spacing w:before="120" w:after="0"/>
        <w:jc w:val="both"/>
        <w:rPr>
          <w:rFonts w:ascii="Times New Roman" w:hAnsi="Times New Roman"/>
          <w:sz w:val="20"/>
        </w:rPr>
      </w:pPr>
      <w:r>
        <w:rPr>
          <w:rFonts w:ascii="Times New Roman" w:hAnsi="Times New Roman"/>
          <w:sz w:val="20"/>
        </w:rPr>
        <w:t xml:space="preserve">Consistent with the metabolic benefits of azelaprag observed in our Phase 1b clinical trial, genetic studies of apelin in mice published by other groups provide support for the potential role of azelaprag in the treatment of obesity. Inactivation of the gene for apelin was shown to result in mice with a statistically significant increase in fat content compared to similarly treated wild-type mice. Apelin knockout mice fed a high fat diet for three weeks also had significantly decreased sensitivity to insulin than similarly treated wild-type mice.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220091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5778500" cy="220091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In a third-party preclinical study, inactivation of the gene for apelin (APKO) in mice led to a significant increase in fat content compared to wild-type counterparts (p&lt;0.05) (n =1015 mice per group). In a separate third-party preclinical study, APKO mice had significantly worse performance on an insulin tolerance test (p&lt;0.01) (n= 6 7 mice per group). (Source: Yue et al. 2010, Yue et al. 2011). </w:t>
      </w:r>
    </w:p>
    <w:p>
      <w:pPr>
        <w:pStyle w:val="TextBody"/>
        <w:bidi w:val="0"/>
        <w:spacing w:before="240" w:after="0"/>
        <w:jc w:val="both"/>
        <w:rPr>
          <w:rFonts w:ascii="Times New Roman" w:hAnsi="Times New Roman"/>
          <w:sz w:val="20"/>
        </w:rPr>
      </w:pPr>
      <w:r>
        <w:rPr>
          <w:rFonts w:ascii="Times New Roman" w:hAnsi="Times New Roman"/>
          <w:sz w:val="20"/>
        </w:rPr>
        <w:t xml:space="preserve">In contrast, transgenic mice with overexpressed apelin showed several metabolic benefits. Animals were significantly protected from weight gain when placed on a high fat diet. This was not due to a decrease in food intake, but instead to an increased metabolic rate. Consistent with apelins role as an exerkine, transgenic apelin mice also had increased skeletal muscle mitochondrial biogenesis and increased oxygen intake compared to wild-type counterparts.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87198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5765800" cy="187198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In a third-party preclinical study, overexpression of apelin in a transgenic mouse (Tg) resulted in significantly reduced weight when fed a high fat diet compared to wild-type control mice (Cont) (p&lt;0.001) (n= 1924 mice per group). Tg mice had a significantly higher basal metabolic rate than their wild-type counterparts on a high fat diet (p&lt;0.01) (n= 7-9 mice per group) with no significant difference in food intake (n= 1924 mice per group). (Source: Yamamoto et al. 2011). </w:t>
      </w:r>
    </w:p>
    <w:p>
      <w:pPr>
        <w:pStyle w:val="TextBody"/>
        <w:bidi w:val="0"/>
        <w:spacing w:before="240" w:after="0"/>
        <w:jc w:val="both"/>
        <w:rPr>
          <w:rFonts w:ascii="Times New Roman" w:hAnsi="Times New Roman"/>
          <w:sz w:val="20"/>
        </w:rPr>
      </w:pPr>
      <w:r>
        <w:rPr>
          <w:rFonts w:ascii="Times New Roman" w:hAnsi="Times New Roman"/>
          <w:sz w:val="20"/>
        </w:rPr>
        <w:t xml:space="preserve">Similar to observations in animals transgenically modified to overexpress apelin, we found that azelaprag monotherapy resulted in significantly improved body composition as measured both by an increased percentage of lean mass as well as by a decreased percentage of fat mass, in mice challenged with a high-fat diet.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293687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5765800" cy="293687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Azelaprag monotherapy treatment resulted in significantly improved body composition (% lean, % fat) in mice challenged with a high-fat diet, similar to transgenic mice overexpressing apelin. Mice were treated with azelaprag for 22 weeks, starting at 5 weeks of age. Mice treated with the highest dose of azelaprag (3.3g/L) showed a 3.5% increase in lean mass and a 3.9% decrease in fat mass. For reference, lean controls mice were 73.6% lean mass and 22.9% fat mass. </w:t>
      </w:r>
    </w:p>
    <w:p>
      <w:pPr>
        <w:pStyle w:val="TextBody"/>
        <w:bidi w:val="0"/>
        <w:spacing w:before="240" w:after="0"/>
        <w:jc w:val="both"/>
        <w:rPr>
          <w:rFonts w:ascii="Times New Roman" w:hAnsi="Times New Roman"/>
          <w:sz w:val="20"/>
        </w:rPr>
      </w:pPr>
      <w:r>
        <w:rPr>
          <w:rFonts w:ascii="Times New Roman" w:hAnsi="Times New Roman"/>
          <w:sz w:val="20"/>
        </w:rPr>
        <w:t xml:space="preserve">Human genetics are consistent with findings in interventional genetic studies in mice. Significant genome-wide associations have been reported at the apelin receptor, APJ, and body mass index, lean body mass and serum lipid levels across diverse populations.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41427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5779135" cy="241427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The apelin receptor APJ (APLNR) has human genome-wide associations with serum lipids, body mass index, and lean mass.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Obesity disease overview: A growing driver of both morbidity and healthcare spending </w:t>
      </w:r>
    </w:p>
    <w:p>
      <w:pPr>
        <w:pStyle w:val="TextBody"/>
        <w:bidi w:val="0"/>
        <w:spacing w:before="120" w:after="0"/>
        <w:jc w:val="both"/>
        <w:rPr>
          <w:rFonts w:ascii="Times New Roman" w:hAnsi="Times New Roman"/>
          <w:sz w:val="20"/>
        </w:rPr>
      </w:pPr>
      <w:r>
        <w:rPr>
          <w:rFonts w:ascii="Times New Roman" w:hAnsi="Times New Roman"/>
          <w:sz w:val="20"/>
        </w:rPr>
        <w:t xml:space="preserve">Obesity is a complex medical disorder that has been described as an accelerated aging condition, as it increases the risk of both morbidity and mortality from age-related chronic disease. It involves both appetite dysregulation and altered lipid and energy metabolism, which in turn result in excessive accumulation of fat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tissue. Globally, over 875 million adults age 20+ are living with obesity, defined as a body mass index (BMI) of 30 or greater. Furthermore, the worldwide prevalence of obesity in adults 20+ more than doubled from under 7% in 1990 to over 16% in 2022. The global estimated cost of overweight and obesity is in the trillions of dollars, representing more than 2% of the global gross domestic product. </w:t>
      </w:r>
    </w:p>
    <w:p>
      <w:pPr>
        <w:pStyle w:val="TextBody"/>
        <w:bidi w:val="0"/>
        <w:spacing w:before="240" w:after="0"/>
        <w:jc w:val="both"/>
        <w:rPr>
          <w:rFonts w:ascii="Times New Roman" w:hAnsi="Times New Roman"/>
          <w:sz w:val="20"/>
        </w:rPr>
      </w:pPr>
      <w:r>
        <w:rPr>
          <w:rFonts w:ascii="Times New Roman" w:hAnsi="Times New Roman"/>
          <w:sz w:val="20"/>
        </w:rPr>
        <w:t xml:space="preserve">Obesity is associated with over 200 health comorbidities and complications, including many cardiometabolic disorders. Among obese patients, the prevalence of these conditions is high: 19-23% have type 2 diabetes, (19-23%), dyslipidemia (66-70%), hypertension (51-61%), metabolic dysfunction-associated steatohepatitis, (30-36%), and (32% heart disease 3.5% congestive heart failure, 8% ischemic heart disease, 21% myocardial infarction). Obesity is also associated with an increased risk of developing infertility and certain cancers. Weight loss leads to improvements across many comorbidities associated with obesity. </w:t>
      </w:r>
    </w:p>
    <w:p>
      <w:pPr>
        <w:pStyle w:val="TextBody"/>
        <w:bidi w:val="0"/>
        <w:spacing w:before="360" w:after="0"/>
        <w:jc w:val="both"/>
        <w:rPr>
          <w:rFonts w:ascii="Times New Roman" w:hAnsi="Times New Roman"/>
          <w:b/>
          <w:i/>
          <w:sz w:val="20"/>
        </w:rPr>
      </w:pPr>
      <w:r>
        <w:rPr>
          <w:rFonts w:ascii="Times New Roman" w:hAnsi="Times New Roman"/>
          <w:b/>
          <w:i/>
          <w:sz w:val="20"/>
        </w:rPr>
        <w:t xml:space="preserve">Obesity treatment landscape: incretin drugs are transforming care, creating an important clinical and commercial opportunity </w:t>
      </w:r>
    </w:p>
    <w:p>
      <w:pPr>
        <w:pStyle w:val="TextBody"/>
        <w:bidi w:val="0"/>
        <w:spacing w:before="120" w:after="0"/>
        <w:jc w:val="both"/>
        <w:rPr>
          <w:rFonts w:ascii="Times New Roman" w:hAnsi="Times New Roman"/>
          <w:sz w:val="20"/>
        </w:rPr>
      </w:pPr>
      <w:r>
        <w:rPr>
          <w:rFonts w:ascii="Times New Roman" w:hAnsi="Times New Roman"/>
          <w:sz w:val="20"/>
        </w:rPr>
        <w:t xml:space="preserve">Current treatments for patients who are overweight or obese begin with lifestyle modification, such as diet and exercise. If this course of treatment fails to produce the desired results, as is often the case, physicians may prescribe pharmaceutical therapies, and in patients with more severe obesity, physicians may pursue aggressive bariatric surgical treatments, such as gastric bypass and sleeve gastrectomy. However, adoption of surgical approaches has been limited by concerns around safety, lifestyle impact, ease of use, cost, compliance, and the significant weight regain that is often observed. </w:t>
      </w:r>
    </w:p>
    <w:p>
      <w:pPr>
        <w:pStyle w:val="TextBody"/>
        <w:bidi w:val="0"/>
        <w:spacing w:before="240" w:after="0"/>
        <w:jc w:val="both"/>
        <w:rPr>
          <w:rFonts w:ascii="Times New Roman" w:hAnsi="Times New Roman"/>
          <w:sz w:val="20"/>
        </w:rPr>
      </w:pPr>
      <w:r>
        <w:rPr>
          <w:rFonts w:ascii="Times New Roman" w:hAnsi="Times New Roman"/>
          <w:sz w:val="20"/>
        </w:rPr>
        <w:t xml:space="preserve">Until recently, pharmaceutical treatments for obesity had limited efficacy and were associated with side effects that led to poor tolerability. The development of a class of drugs that target hormones known as incretins has dramatically changed the treatment landscape. Incretins are peptides released by the gut in response to ingestion of food. The two primary incretins glucagon-like peptide-1 (GLP-1), and glucose-dependent insulinotropic polypeptide (GIP) increase insulin response and lower blood glucose levels. GLP-1 also serves to reduce appetite and food intake. Peptide agonists of GLP-1R and of the GIP receptor and inhibitors of the degradation of incretins have been approved as treatments for type 2 diabetes, where they have been shown to improve glycemic control. </w:t>
      </w:r>
    </w:p>
    <w:p>
      <w:pPr>
        <w:pStyle w:val="TextBody"/>
        <w:bidi w:val="0"/>
        <w:spacing w:before="240" w:after="0"/>
        <w:jc w:val="both"/>
        <w:rPr>
          <w:rFonts w:ascii="Times New Roman" w:hAnsi="Times New Roman"/>
          <w:sz w:val="20"/>
        </w:rPr>
      </w:pPr>
      <w:r>
        <w:rPr>
          <w:rFonts w:ascii="Times New Roman" w:hAnsi="Times New Roman"/>
          <w:sz w:val="20"/>
        </w:rPr>
        <w:t xml:space="preserve">GLP-1R agonists and GLP-1R/GIP receptor dual agonists have since been shown to lead to significant reductions in body weight, partly by decreasing dietary intake. In 2021, the GLP-1R agonist Wegovy was the first incretin receptor agonist to be approved by the FDA for the treatment of obesity. In Phase 3 trials with Zepbound, a dual GLP-1R and GIP receptor agonist, obese adults lost a mean of between 15-20% of their body weight at one year depending on dose. </w:t>
      </w:r>
    </w:p>
    <w:p>
      <w:pPr>
        <w:pStyle w:val="TextBody"/>
        <w:bidi w:val="0"/>
        <w:spacing w:before="240" w:after="0"/>
        <w:jc w:val="both"/>
        <w:rPr>
          <w:rFonts w:ascii="Times New Roman" w:hAnsi="Times New Roman"/>
          <w:sz w:val="20"/>
        </w:rPr>
      </w:pPr>
      <w:r>
        <w:rPr>
          <w:rFonts w:ascii="Times New Roman" w:hAnsi="Times New Roman"/>
          <w:sz w:val="20"/>
        </w:rPr>
        <w:t xml:space="preserve">Weight loss treatment leads to improvements across various comorbidities associated with obesity, with outcomes proportional to the amount of weight lost. Diabetic patients treated with these drugs have improved glycemic control through increased pancreatic function and insulin sensitivity. These drugs lead to reduced frequencies of major adverse cardiovascular events including stroke, myocardial infarction and cardiovascular death. Patients taking these drugs experience a reduction in hospitalizations due to heart failure. Older diabetic patients have reduced risk of progression to chronic kidney disease, and early reports suggest that GLP-1R agonists decrease the risk of developing neurodegenerative disease. </w:t>
      </w:r>
    </w:p>
    <w:p>
      <w:pPr>
        <w:pStyle w:val="TextBody"/>
        <w:bidi w:val="0"/>
        <w:spacing w:before="240" w:after="0"/>
        <w:jc w:val="both"/>
        <w:rPr>
          <w:rFonts w:ascii="Times New Roman" w:hAnsi="Times New Roman"/>
          <w:sz w:val="20"/>
        </w:rPr>
      </w:pPr>
      <w:r>
        <w:rPr>
          <w:rFonts w:ascii="Times New Roman" w:hAnsi="Times New Roman"/>
          <w:sz w:val="20"/>
        </w:rPr>
        <w:t xml:space="preserve">The market for GLP-1R agonists, including those used to treat diabetes, was $35 billion in 2023. According to third-party estimates, the global market is expected to grow to $150 billion by 2031, driven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Continued adoption of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Improved reimbursement of approved products as trials demonstrates the ability to not only improve weight loss but also reduce the burden of comorbidities like heart disease, kidney disease, and obstructive sleep apnea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of product candidates in development to address critical unmet needs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Anticipated evolution of obesity treatment: oral and combination approaches </w:t>
      </w:r>
    </w:p>
    <w:p>
      <w:pPr>
        <w:pStyle w:val="TextBody"/>
        <w:bidi w:val="0"/>
        <w:spacing w:before="120" w:after="0"/>
        <w:jc w:val="both"/>
        <w:rPr>
          <w:rFonts w:ascii="Times New Roman" w:hAnsi="Times New Roman"/>
          <w:sz w:val="20"/>
        </w:rPr>
      </w:pPr>
      <w:r>
        <w:rPr>
          <w:rFonts w:ascii="Times New Roman" w:hAnsi="Times New Roman"/>
          <w:sz w:val="20"/>
        </w:rPr>
        <w:t xml:space="preserve">Several factors have spurred the biopharmaceutical industry to develop new product candidates for obesity. These include the large and rapidly growing market created by injectable GLP-1R agonists in treating obesity; the high prevalence of the disease; the impact of obesity on overall health and healthcare spending; and the limitations of currently prescribed drugs. </w:t>
      </w:r>
    </w:p>
    <w:p>
      <w:pPr>
        <w:pStyle w:val="TextBody"/>
        <w:bidi w:val="0"/>
        <w:spacing w:before="240" w:after="0"/>
        <w:jc w:val="both"/>
        <w:rPr>
          <w:rFonts w:ascii="Times New Roman" w:hAnsi="Times New Roman"/>
          <w:sz w:val="20"/>
        </w:rPr>
      </w:pPr>
      <w:r>
        <w:rPr>
          <w:rFonts w:ascii="Times New Roman" w:hAnsi="Times New Roman"/>
          <w:sz w:val="20"/>
        </w:rPr>
        <w:t xml:space="preserve">There are two important new trends in obesity drug development, both of which support the development potential of azelaprag in obesity: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Oral small molecule for weight loss. </w:t>
            </w:r>
            <w:r>
              <w:rPr>
                <w:rFonts w:ascii="Times New Roman" w:hAnsi="Times New Roman"/>
                <w:sz w:val="20"/>
              </w:rPr>
              <w:t xml:space="preserve">Significant pharmaceutical development activity in this area is driven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Patient preference. </w:t>
            </w:r>
            <w:r>
              <w:rPr>
                <w:rFonts w:ascii="Times New Roman" w:hAnsi="Times New Roman"/>
                <w:sz w:val="20"/>
              </w:rPr>
              <w:t xml:space="preserve">77% of patients strongly prefer the convenience of once-daily oral GLP-1Rs vs. once-weekly self-administering injections.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i/>
                <w:sz w:val="20"/>
              </w:rPr>
              <w:t>Manufacturing and supply chain advantages</w:t>
            </w:r>
            <w:r>
              <w:rPr>
                <w:rFonts w:ascii="Times New Roman" w:hAnsi="Times New Roman"/>
                <w:sz w:val="20"/>
              </w:rPr>
              <w:t xml:space="preserve">. Oral small molecules can alleviate cold-chain requirements and higher manufacturing costs associated with injectables.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rFonts w:ascii="ARIAL" w:hAnsi="ARIAL"/>
              </w:rPr>
            </w:pPr>
            <w:r>
              <w:rPr>
                <w:rFonts w:ascii="WINGDINGS" w:hAnsi="WINGDINGS"/>
              </w:rPr>
              <w:t>¡</w:t>
            </w:r>
            <w:r>
              <w:rPr>
                <w:rFonts w:ascii="ARIAL" w:hAnsi="ARIAL"/>
              </w:rPr>
              <w:t> </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i/>
                <w:sz w:val="20"/>
              </w:rPr>
              <w:t>Dose titration</w:t>
            </w:r>
            <w:r>
              <w:rPr>
                <w:rFonts w:ascii="Times New Roman" w:hAnsi="Times New Roman"/>
                <w:sz w:val="20"/>
              </w:rPr>
              <w:t xml:space="preserve">. Daily oral dosing enables more flexible titration compared to weekly administered injectables.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Combination therapies. </w:t>
            </w:r>
            <w:r>
              <w:rPr>
                <w:rFonts w:ascii="Times New Roman" w:hAnsi="Times New Roman"/>
                <w:sz w:val="20"/>
              </w:rPr>
              <w:t xml:space="preserve">Combining multiple therapeutics with different mechanisms of action has the potential to improve weight loss while reducing side effects, improving body composition, and / or improving comorbidities.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Azelaprag has the potential to address critical unmet needs </w:t>
      </w:r>
    </w:p>
    <w:p>
      <w:pPr>
        <w:pStyle w:val="TextBody"/>
        <w:bidi w:val="0"/>
        <w:spacing w:before="120" w:after="0"/>
        <w:jc w:val="both"/>
        <w:rPr>
          <w:rFonts w:ascii="Times New Roman" w:hAnsi="Times New Roman"/>
          <w:sz w:val="20"/>
        </w:rPr>
      </w:pPr>
      <w:r>
        <w:rPr>
          <w:rFonts w:ascii="Times New Roman" w:hAnsi="Times New Roman"/>
          <w:sz w:val="20"/>
        </w:rPr>
        <w:t xml:space="preserve">Azelaprag is an oral small molecule that showed synergistic benefits in combination with incretins in preclinical obesity studies. Importantly, azelaprag has the potential to address several key unmet needs in an all-oral combination.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32549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5778500" cy="332549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Key unmet needs for oral weight loss regimens include increased weight loss, improved tolerability and improved body composition.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Goal: Overall oral weight loss on par with injectables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highly competitive oral product would achieve weight loss of approximately 20% after one year of treatment. Weight loss with oral incretins in development has lagged injectables, potentially because the most advanced orals have a single target, GLP-1R, whereas some injectables have combined multiple mechanisms. Late-stage oral incretins have been observed to achieve up to approximately 15% weight loss in clinical trials: oral semaglutide reached 15.1% (50 mg, week 68); orforglipron reached 14.7% (45 mg, week 36). By contrast, in a separate clinical trial, Zepbound (tirzepatide 15 mg), which is a dual GLP-1R and GIP agonist and has the highest percentage of weight loss among approved injectables, reached 20.9% at week 72. Next-generation injectables in late-stage development may achieve or exceed 25% weight loss (e.g., Lillys triple incretin agonist retatrutide 12 mg, 24.2% at week 48).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65176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5779135" cy="265176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Current late-stage oral incretins have lower levels of weight loss compared to leading injectable products. </w:t>
      </w:r>
    </w:p>
    <w:p>
      <w:pPr>
        <w:pStyle w:val="TextBody"/>
        <w:bidi w:val="0"/>
        <w:spacing w:before="360" w:after="0"/>
        <w:jc w:val="left"/>
        <w:rPr>
          <w:rFonts w:ascii="Times New Roman" w:hAnsi="Times New Roman"/>
          <w:sz w:val="20"/>
        </w:rPr>
      </w:pPr>
      <w:r>
        <w:rPr>
          <w:rFonts w:ascii="Times New Roman" w:hAnsi="Times New Roman"/>
          <w:b/>
          <w:i/>
          <w:sz w:val="20"/>
        </w:rPr>
        <w:t>Goal: Improved body composition and weight loss quality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Up to 50% of the weight loss on GLP-1R agonist therapy is due to reduction in lean body mass. Loss of lean mass can result in suboptimal body composition (% fat vs. % lean mass). This effect is more pronounced in older adults who are less able to conserve lean mass in the presence of weight loss interventions than are younger adults. </w:t>
      </w:r>
    </w:p>
    <w:p>
      <w:pPr>
        <w:pStyle w:val="TextBody"/>
        <w:bidi w:val="0"/>
        <w:spacing w:before="240" w:after="0"/>
        <w:jc w:val="both"/>
        <w:rPr>
          <w:rFonts w:ascii="Times New Roman" w:hAnsi="Times New Roman"/>
          <w:sz w:val="20"/>
        </w:rPr>
      </w:pPr>
      <w:r>
        <w:rPr>
          <w:rFonts w:ascii="Times New Roman" w:hAnsi="Times New Roman"/>
          <w:sz w:val="20"/>
        </w:rPr>
        <w:t xml:space="preserve">Excessive loss of lean body mass, which is predominantly composed of skeletal muscle, can be a serious drawback for obesity treatments because skeletal muscle has several crucial functions. Skeletal muscle acts as a primary site of glucose disposal, and reductions in skeletal muscle contribute to poor glycemic control. Lean mass is a strong determinant of resting metabolic rate, helping the body to expend excess calories. A suboptimal proportion of lean mass following weight loss may therefore predispose individuals to a greater chance of rebound weight gain after stopping therapy. </w:t>
      </w:r>
    </w:p>
    <w:p>
      <w:pPr>
        <w:pStyle w:val="TextBody"/>
        <w:bidi w:val="0"/>
        <w:spacing w:before="240" w:after="0"/>
        <w:jc w:val="both"/>
        <w:rPr>
          <w:rFonts w:ascii="Times New Roman" w:hAnsi="Times New Roman"/>
          <w:sz w:val="20"/>
        </w:rPr>
      </w:pPr>
      <w:r>
        <w:rPr>
          <w:rFonts w:ascii="Times New Roman" w:hAnsi="Times New Roman"/>
          <w:sz w:val="20"/>
        </w:rPr>
        <w:t xml:space="preserve">Worsened body composition in older adults may also result in reduced physical function, including reduced mobility, hospitalization and physical frailty, especially in older patients. For example, Wegovy treatment resulted in a five times increased risk of hip and pelvis fractures in female patients, as reported in the SELECT cardiovascular outcomes trial. </w:t>
      </w:r>
    </w:p>
    <w:p>
      <w:pPr>
        <w:pStyle w:val="TextBody"/>
        <w:bidi w:val="0"/>
        <w:spacing w:before="240" w:after="0"/>
        <w:jc w:val="both"/>
        <w:rPr>
          <w:rFonts w:ascii="Times New Roman" w:hAnsi="Times New Roman"/>
          <w:sz w:val="20"/>
        </w:rPr>
      </w:pPr>
      <w:r>
        <w:rPr>
          <w:rFonts w:ascii="Times New Roman" w:hAnsi="Times New Roman"/>
          <w:sz w:val="20"/>
        </w:rPr>
        <w:t xml:space="preserve">It is important to note that the impact of weight loss on lean body mass is not limited to a single type of weight loss therapy. Indeed, this undesired impact is commonly observed after treatment with multiple classes of therapeutics, as well as in patients who undergo bariatric surgery.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Ultimately, the treatment goal for patients is to achieve not just weight loss  but also a healthy body composition and physical function. As a result, there is substantial interest from both physicians and pharmaceutical companies in mechanisms that improve the quality of body composition in connection with weight loss in addition to the quantity of weight loss.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314833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5779135" cy="314833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Suboptimal body composition can be a key limitation of incretins currently used to treat obesity. </w:t>
      </w:r>
    </w:p>
    <w:p>
      <w:pPr>
        <w:pStyle w:val="TextBody"/>
        <w:bidi w:val="0"/>
        <w:spacing w:before="360" w:after="0"/>
        <w:jc w:val="left"/>
        <w:rPr>
          <w:rFonts w:ascii="Times New Roman" w:hAnsi="Times New Roman"/>
          <w:sz w:val="20"/>
        </w:rPr>
      </w:pPr>
      <w:r>
        <w:rPr>
          <w:rFonts w:ascii="Times New Roman" w:hAnsi="Times New Roman"/>
          <w:b/>
          <w:i/>
          <w:sz w:val="20"/>
        </w:rPr>
        <w:t>Goal: Improved tolerability with potential to improve titration, compliance and discontinuation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Injectable GLP-1R agonists are peptides that are associated with a high rate of gastrointestinal side effects such as nausea, diarrhea, vomiting, constipation, and abdominal pain. For example, in the STEP-1 and SURMOUNT-1 clinical trials, 44% of patients treated with semaglutide (2.4 mg) and 31% of patients treated with tirzepatide (15 mg) experienced nausea, respectively. These side effects contributed to discontinuation rates of 17% for patients on semaglutide (2.4 mg) and 15% for patients on tirzepatide (15 mg) in these clinical trials. In the real world, discontinuation has been reported at up to 68% at one year, of which up to 64% has been ascribed to tolerability based on patient reports. The frequency of these side effects is reduced with lower doses; however, lowering the dose results in lower weight loss. Titration to a maintenance dose is used to minimize treatment-associated side effects, but this is a slow process with approved products that occurs over months. </w:t>
      </w:r>
    </w:p>
    <w:p>
      <w:pPr>
        <w:pStyle w:val="TextBody"/>
        <w:bidi w:val="0"/>
        <w:spacing w:before="240" w:after="0"/>
        <w:jc w:val="both"/>
        <w:rPr>
          <w:rFonts w:ascii="Times New Roman" w:hAnsi="Times New Roman"/>
          <w:sz w:val="20"/>
        </w:rPr>
      </w:pPr>
      <w:r>
        <w:rPr>
          <w:rFonts w:ascii="Times New Roman" w:hAnsi="Times New Roman"/>
          <w:sz w:val="20"/>
        </w:rPr>
        <w:t xml:space="preserve">Oral GLP-1R agonists in development have generally reported an equivalent or inferior tolerability profile compared to injectable agonists, with higher rates of gastrointestinal side effects and subsequent trial discontinuation. In Phase 23 obesity trials of oral GLP-1R agonists, 58% (orforglipron, 24 mg) to 87% (GSBR-1290, 120 mg) of patients reported gastrointestinal side effects such as nausea, diarrhea, vomiting, constipation, and abdominal pain; by contrast, 31% (tirzepatide, 15 mg) to 44% (semaglutide, 2.4 mg) reported such adverse events with approved injectable agonists. </w:t>
      </w:r>
    </w:p>
    <w:p>
      <w:pPr>
        <w:pStyle w:val="TextBody"/>
        <w:bidi w:val="0"/>
        <w:spacing w:before="240" w:after="0"/>
        <w:jc w:val="both"/>
        <w:rPr>
          <w:rFonts w:ascii="Times New Roman" w:hAnsi="Times New Roman"/>
          <w:sz w:val="20"/>
        </w:rPr>
      </w:pPr>
      <w:r>
        <w:rPr>
          <w:rFonts w:ascii="Times New Roman" w:hAnsi="Times New Roman"/>
          <w:sz w:val="20"/>
        </w:rPr>
        <w:t xml:space="preserve">Combination approaches that limit incretin doses required to achieve target weight loss have the potential to substantially improve tolerability, which has clear potential downstream benefits,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Improved patient compliance and reduced discontinuation, the majority of which is currently ascribed to tolerability in the real-world setting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Shorter titration schedules, given fewer tolerability challenges that extend the time to reach a maintenance dose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results in a diet-induced obesity model demonstrate the potential of azelaprag to increase weight loss quantity and quality </w:t>
      </w:r>
    </w:p>
    <w:p>
      <w:pPr>
        <w:pStyle w:val="TextBody"/>
        <w:bidi w:val="0"/>
        <w:spacing w:before="240" w:after="0"/>
        <w:jc w:val="both"/>
        <w:rPr>
          <w:rFonts w:ascii="Times New Roman" w:hAnsi="Times New Roman"/>
          <w:sz w:val="20"/>
        </w:rPr>
      </w:pPr>
      <w:r>
        <w:rPr>
          <w:rFonts w:ascii="Times New Roman" w:hAnsi="Times New Roman"/>
          <w:sz w:val="20"/>
        </w:rPr>
        <w:t xml:space="preserve">We evaluated the effects of azelaprag, both individually and in combination with incretin drugs, to improve weight loss and other outcomes in a diet-induced obesity mouse model. This model is considered the gold standard and is highly translational to the clinic: there is a linear relationship between weight loss in this preclinical model and weight loss observed in human patients, across multiple mechanisms of action.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093720" cy="333438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3093720" cy="333438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There is a linear relationship between weight loss achieved in the diet-induced obesity preclinical model and weight loss achieved in clinical trials in various obese populations. (Source: Müller et al. 2021). </w:t>
      </w:r>
    </w:p>
    <w:p>
      <w:pPr>
        <w:pStyle w:val="TextBody"/>
        <w:bidi w:val="0"/>
        <w:spacing w:before="240" w:after="0"/>
        <w:jc w:val="both"/>
        <w:rPr>
          <w:rFonts w:ascii="Times New Roman" w:hAnsi="Times New Roman"/>
          <w:sz w:val="20"/>
        </w:rPr>
      </w:pPr>
      <w:r>
        <w:rPr>
          <w:rFonts w:ascii="Times New Roman" w:hAnsi="Times New Roman"/>
          <w:sz w:val="20"/>
        </w:rPr>
        <w:t xml:space="preserve">Azelaprag, in combination with tirzepatide, restored body weight and body composition of obese mice to lean control levels. In our experiments, mice were fed a high fat diet, then treated with tirzepatide, azelaprag or a combination of both agents for three weeks while maintaining the same diet. All treatments were well-tolerated, with normal serum chemistries and normal behaviors observed in all animal groups. </w:t>
      </w:r>
    </w:p>
    <w:p>
      <w:pPr>
        <w:pStyle w:val="TextBody"/>
        <w:bidi w:val="0"/>
        <w:spacing w:before="240" w:after="0"/>
        <w:jc w:val="both"/>
        <w:rPr>
          <w:rFonts w:ascii="Times New Roman" w:hAnsi="Times New Roman"/>
          <w:sz w:val="20"/>
        </w:rPr>
      </w:pPr>
      <w:r>
        <w:rPr>
          <w:rFonts w:ascii="Times New Roman" w:hAnsi="Times New Roman"/>
          <w:sz w:val="20"/>
        </w:rPr>
        <w:t xml:space="preserve">As expected in this well-validated model, tirzepatide monotherapy led to a reduction in body weight of approximately 15% at the dose tested. The addition of azelaprag to tirzepatide treatment led to further significant, dose-dependent decreases in body weight, with 40% weight reduction by three weeks in the highest dose group. Importantly, at the highest dose of azelaprag, the weight of mice receiving the combination of azelaprag and tirzepatide was restored to that of lean controls (mice fed a regular diet, not a high fat diet). </w:t>
      </w:r>
    </w:p>
    <w:p>
      <w:pPr>
        <w:pStyle w:val="TextBody"/>
        <w:bidi w:val="0"/>
        <w:spacing w:before="240" w:after="0"/>
        <w:jc w:val="both"/>
        <w:rPr>
          <w:rFonts w:ascii="Times New Roman" w:hAnsi="Times New Roman"/>
          <w:sz w:val="20"/>
        </w:rPr>
      </w:pPr>
      <w:r>
        <w:rPr>
          <w:rFonts w:ascii="Times New Roman" w:hAnsi="Times New Roman"/>
          <w:sz w:val="20"/>
        </w:rPr>
        <w:t xml:space="preserve">Monotherapy azelaprag had no notable effect on body weight in this study, a finding consistent with other efficacious combination mechanisms in obesity. For example, tirzepatide is a dual agonist of GLP-1R and the GIP receptor. In preclinical models, GIP agonism did not show a monotherapy weight loss benefit but showed a substantial weight loss increase in combination with a GLP-1R agonist.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370522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5765800" cy="370522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The combination of azelaprag and tirzepatide resulted in significant, dose-dependent increases in overall weight loss compared to tirzepatide monotherapy in diet-induced obesity mouse model (left). High dose azelaprag in combination with tirzepatide resulted in weight loss that corrected obese mouse weight back to lean control levels (right). Group size: n=6-14 per group. Tirzepatide (10nmol/kg) vs. tirzepatide (10nmol/kg) + azelaprag (1.1g/l) on day 20: p&lt;0.0001.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correcting total weight back to lean control levels, the addition of azelaprag in combination with tirzepatide also restored the body composition of obese mice to that of lean controls in a significant, dose-dependent fashion. The proportion of lean body mass increased while that of fat decreased over the three-week dosing period. </w:t>
      </w:r>
    </w:p>
    <w:p>
      <w:pPr>
        <w:pStyle w:val="TextBody"/>
        <w:bidi w:val="0"/>
        <w:spacing w:before="240" w:after="0"/>
        <w:jc w:val="both"/>
        <w:rPr>
          <w:rFonts w:ascii="Times New Roman" w:hAnsi="Times New Roman"/>
          <w:sz w:val="20"/>
        </w:rPr>
      </w:pPr>
      <w:r>
        <w:rPr>
          <w:rFonts w:ascii="Times New Roman" w:hAnsi="Times New Roman"/>
          <w:sz w:val="20"/>
        </w:rPr>
        <w:t xml:space="preserve">In the context of clinical care, body compositionand specifically the proportion of lean massis highly predictive of multiple health outcomes including physical function, metabolic health and cardiovascular outcomes (and more predictive than absolute levels of lean or fat mass).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329692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5765800" cy="3296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67906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5779135" cy="2679065"/>
                    </a:xfrm>
                    <a:prstGeom prst="rect">
                      <a:avLst/>
                    </a:prstGeom>
                  </pic:spPr>
                </pic:pic>
              </a:graphicData>
            </a:graphic>
          </wp:inline>
        </w:drawing>
      </w:r>
      <w:r>
        <w:rPr/>
        <w:t xml:space="preserve"> </w:t>
      </w:r>
    </w:p>
    <w:p>
      <w:pPr>
        <w:pStyle w:val="TextBody"/>
        <w:bidi w:val="0"/>
        <w:spacing w:before="200" w:after="0"/>
        <w:jc w:val="both"/>
        <w:rPr>
          <w:rFonts w:ascii="Times New Roman" w:hAnsi="Times New Roman"/>
          <w:i/>
          <w:sz w:val="16"/>
        </w:rPr>
      </w:pPr>
      <w:r>
        <w:rPr>
          <w:rFonts w:ascii="Times New Roman" w:hAnsi="Times New Roman"/>
          <w:i/>
          <w:sz w:val="16"/>
        </w:rPr>
        <w:t xml:space="preserve">Azelaprag resulted in full restoration of body composition (% lean, % fat, lean / fat ratio) of obese mice to that of lean controls (top and bottom left). Representative images of mice in each treatment group are shown (bottom right). Lean and fat mass were measured by EchoMRI. Group size: n=6-14 per group. Tirzepatide (10nmol/kg) vs. tirzepatide (10nmol/kg) + azelaprag (1.1g/l) on day 20: p&lt;0.0001 for both % lean and % fat. </w:t>
      </w:r>
    </w:p>
    <w:p>
      <w:pPr>
        <w:pStyle w:val="TextBody"/>
        <w:bidi w:val="0"/>
        <w:spacing w:before="240" w:after="0"/>
        <w:jc w:val="left"/>
        <w:rPr>
          <w:rFonts w:ascii="Times New Roman" w:hAnsi="Times New Roman"/>
          <w:i/>
          <w:sz w:val="20"/>
        </w:rPr>
      </w:pPr>
      <w:r>
        <w:rPr>
          <w:rFonts w:ascii="Times New Roman" w:hAnsi="Times New Roman"/>
          <w:i/>
          <w:sz w:val="20"/>
        </w:rPr>
        <w:t xml:space="preserve">Azelaprag did not further suppress energy intake, suggesting increased energy expenditure. </w:t>
      </w:r>
    </w:p>
    <w:p>
      <w:pPr>
        <w:pStyle w:val="TextBody"/>
        <w:bidi w:val="0"/>
        <w:spacing w:before="120" w:after="0"/>
        <w:jc w:val="both"/>
        <w:rPr>
          <w:rFonts w:ascii="Times New Roman" w:hAnsi="Times New Roman"/>
          <w:sz w:val="20"/>
        </w:rPr>
      </w:pPr>
      <w:r>
        <w:rPr>
          <w:rFonts w:ascii="Times New Roman" w:hAnsi="Times New Roman"/>
          <w:sz w:val="20"/>
        </w:rPr>
        <w:t xml:space="preserve">In contrast with incretins that show an appetite suppression mechanism, the incremental weight loss observed in the azelaprag combination therapy groups was not due to reduced food consumption (normalized for body weight). While food consumption was reduced with tirzepatide monotherapy, it was not decreased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by the addition of azelaprag, suggesting a mechanism related to energy expenditure rather than further appetite suppression. This is consistent with apelins role as an exerkine, and with the metabolic benefits previously observed in mice that transgenically overexpress apelin, as well as in our Phase 1b clinical trial. </w:t>
      </w:r>
    </w:p>
    <w:p>
      <w:pPr>
        <w:pStyle w:val="TextBody"/>
        <w:bidi w:val="0"/>
        <w:spacing w:before="0" w:after="0"/>
        <w:jc w:val="center"/>
        <w:rPr/>
      </w:pPr>
      <w:r>
        <w:rPr/>
        <w:drawing>
          <wp:inline distT="0" distB="0" distL="0" distR="0">
            <wp:extent cx="3483610" cy="343662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3483610" cy="343662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Azelaprag in combination with tirzepatide did not result in lower food consumption than tirzepatide monotherapy in obese mice. Chow consumption was measured every 3 days and normalized to body weight. Group size: n=6-14 per group. Tirzepatide (10nmol/kg) vs. tirzepatide (10nmol/kg) + azelaprag (1.1g/l) on day 18: p=0.22. </w:t>
      </w:r>
    </w:p>
    <w:p>
      <w:pPr>
        <w:pStyle w:val="TextBody"/>
        <w:bidi w:val="0"/>
        <w:spacing w:before="360" w:after="0"/>
        <w:jc w:val="left"/>
        <w:rPr>
          <w:rFonts w:ascii="Times New Roman" w:hAnsi="Times New Roman"/>
          <w:i/>
          <w:sz w:val="20"/>
        </w:rPr>
      </w:pPr>
      <w:r>
        <w:rPr>
          <w:rFonts w:ascii="Times New Roman" w:hAnsi="Times New Roman"/>
          <w:i/>
          <w:sz w:val="20"/>
        </w:rPr>
        <w:t xml:space="preserve">Azelaprag, in combination with tirzepatide, fully restored physical function to lean control levels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restoring obese animal weight and body composition to healthy control levels, we also observed the combination of azelaprag and tirzepatide to significantly restore normal physical function. Mice that received tirzepatide monotherapy showed worse functional performance compared to compared to lean controls as measured by a grid hang test. However, those that also received azelaprag showed restored physical function, as measured by grid hang times, roughly equivalent to those of lean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7705" cy="2750185"/>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5767705" cy="275018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The combination of azelaprag and tirzepatide restored muscle function to that of lean controls in obese mice. Latency to fall in the grid hang test is shown in seconds on the left panel and normalized to body weight (BW) on the right panel. Group size: n=7-9 per group. </w:t>
      </w:r>
    </w:p>
    <w:p>
      <w:pPr>
        <w:pStyle w:val="TextBody"/>
        <w:bidi w:val="0"/>
        <w:spacing w:before="360" w:after="0"/>
        <w:jc w:val="left"/>
        <w:rPr>
          <w:rFonts w:ascii="Times New Roman" w:hAnsi="Times New Roman"/>
          <w:i/>
          <w:sz w:val="20"/>
        </w:rPr>
      </w:pPr>
      <w:r>
        <w:rPr>
          <w:rFonts w:ascii="Times New Roman" w:hAnsi="Times New Roman"/>
          <w:i/>
          <w:sz w:val="20"/>
        </w:rPr>
        <w:t xml:space="preserve">Azelaprag, when administered in combination with tirzepatide, further decreased blood glucose level. </w:t>
      </w:r>
    </w:p>
    <w:p>
      <w:pPr>
        <w:pStyle w:val="TextBody"/>
        <w:bidi w:val="0"/>
        <w:spacing w:before="120" w:after="0"/>
        <w:jc w:val="both"/>
        <w:rPr>
          <w:rFonts w:ascii="Times New Roman" w:hAnsi="Times New Roman"/>
          <w:sz w:val="20"/>
        </w:rPr>
      </w:pPr>
      <w:r>
        <w:rPr>
          <w:rFonts w:ascii="Times New Roman" w:hAnsi="Times New Roman"/>
          <w:sz w:val="20"/>
        </w:rPr>
        <w:t xml:space="preserve">Administration with azelaprag in combination with tirzepatide also led to further improvements in glycemic control over that of tirzepatide monotherapy. Lowering blood glucose levels is one of the primary benefits of incretins such as tirzepatide. This effect of tirzepatide was also observed in this mouse model. While azelaprag monotherapy did not result in a further reduction in blood glucose levels, the combination of azelaprag and tirzepatide resulted in a significant and sustained decrease in non-fasting glucose levels. This observation is consistent with a small hyper insulinemic-euglycemic clamp trial of apelin-13 peptide in overweight men, where infusion of the peptide significantly improved insulin sensitivity.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4014470" cy="395986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4014470" cy="395986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Azelaprag combination with tirzepatide led to significant and prolonged suppression of non-fasting serum glucose levels in obese mice. Levels were measured between 9-11 AM. Baseline levels were captured on day -7 and treatment was initiated at day 0. Group size: n=6-14 per group. Tirzepatide (10nmol/kg) vs. tirzepatide (10nmol/kg) + azelaprag (1.1g/l) on day 18: p=0.0005. </w:t>
      </w:r>
    </w:p>
    <w:p>
      <w:pPr>
        <w:pStyle w:val="TextBody"/>
        <w:bidi w:val="0"/>
        <w:spacing w:before="240" w:after="0"/>
        <w:jc w:val="left"/>
        <w:rPr>
          <w:rFonts w:ascii="Times New Roman" w:hAnsi="Times New Roman"/>
          <w:i/>
          <w:sz w:val="20"/>
        </w:rPr>
      </w:pPr>
      <w:r>
        <w:rPr>
          <w:rFonts w:ascii="Times New Roman" w:hAnsi="Times New Roman"/>
          <w:i/>
          <w:sz w:val="20"/>
        </w:rPr>
        <w:t xml:space="preserve">A class effect: we observed similar weight loss synergy when azelaprag was combined with semaglutide. </w:t>
      </w:r>
    </w:p>
    <w:p>
      <w:pPr>
        <w:pStyle w:val="TextBody"/>
        <w:bidi w:val="0"/>
        <w:spacing w:before="240" w:after="0"/>
        <w:jc w:val="both"/>
        <w:rPr>
          <w:rFonts w:ascii="Times New Roman" w:hAnsi="Times New Roman"/>
          <w:sz w:val="20"/>
        </w:rPr>
      </w:pPr>
      <w:r>
        <w:rPr>
          <w:rFonts w:ascii="Times New Roman" w:hAnsi="Times New Roman"/>
          <w:sz w:val="20"/>
        </w:rPr>
        <w:t xml:space="preserve">Mechanistically, azelaprag should show similar benefits in preclinical models when combined with other similar incretins that are GLP-1R agonists, beyond tirzepatide. In the same diet-induced obesity mouse model as our tirzepatide experiments, we observed comparable weight loss and other benefits when we administered azelaprag in combination with semaglutide, suggesting a class effect in incretins, as well as the potential for additivity with other appetite-suppressing weight loss therapies.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73253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5765800" cy="373253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Azelaprag led to significantly increased weight loss in combination with semaglutide in obese mice, suggesting an incretin class synergy. Group size: n=7 lean controls; n=8 in all other groups. Semaglutide (30nmol/kg) vs. semaglutide (30nmol/kg) + azelaprag (1.1g/l) on day 18: p&lt;0.0001. </w:t>
      </w:r>
    </w:p>
    <w:p>
      <w:pPr>
        <w:pStyle w:val="TextBody"/>
        <w:bidi w:val="0"/>
        <w:spacing w:before="240" w:after="0"/>
        <w:jc w:val="both"/>
        <w:rPr>
          <w:rFonts w:ascii="Times New Roman" w:hAnsi="Times New Roman"/>
          <w:sz w:val="20"/>
        </w:rPr>
      </w:pPr>
      <w:r>
        <w:rPr>
          <w:rFonts w:ascii="Times New Roman" w:hAnsi="Times New Roman"/>
          <w:sz w:val="20"/>
        </w:rPr>
        <w:t xml:space="preserve">We believe the totality of these preclinical results reinforce the potential benefits of an exercise mimetic as a complement to incretin obesity therapy. Exercise has been shown to significantly improve outcomesincluding overall weight loss, body composition, and glucose controlwhen performed in combination with GLP-1R therapy. Azelaprag may recapitulate these benefits in incretin weight loss therapy, leading to increased weight loss quantity and quality. </w:t>
      </w:r>
    </w:p>
    <w:p>
      <w:pPr>
        <w:pStyle w:val="TextBody"/>
        <w:bidi w:val="0"/>
        <w:spacing w:before="240" w:after="0"/>
        <w:jc w:val="both"/>
        <w:rPr>
          <w:rFonts w:ascii="Times New Roman" w:hAnsi="Times New Roman"/>
          <w:sz w:val="20"/>
        </w:rPr>
      </w:pPr>
      <w:r>
        <w:rPr>
          <w:rFonts w:ascii="Times New Roman" w:hAnsi="Times New Roman"/>
          <w:sz w:val="20"/>
        </w:rPr>
        <w:t xml:space="preserve">We believe combination of azelaprag and an incretin is a pharmacological parallel to diet and exercise: one mechanism relies largely on reducing energy intake, the other on increasing energy expenditure.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276600" cy="3752215"/>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3276600" cy="375221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Azelaprag Phase 2 clinical development in obesity </w:t>
      </w:r>
    </w:p>
    <w:p>
      <w:pPr>
        <w:pStyle w:val="TextBody"/>
        <w:bidi w:val="0"/>
        <w:spacing w:before="120" w:after="0"/>
        <w:jc w:val="both"/>
        <w:rPr>
          <w:rFonts w:ascii="Times New Roman" w:hAnsi="Times New Roman"/>
          <w:sz w:val="20"/>
        </w:rPr>
      </w:pPr>
      <w:r>
        <w:rPr>
          <w:rFonts w:ascii="Times New Roman" w:hAnsi="Times New Roman"/>
          <w:sz w:val="20"/>
        </w:rPr>
        <w:t xml:space="preserve">We are planning to conduct two Phase 2 clinical trials of azelaprag in combination with GLP-1R therapies in patients with obesity. </w:t>
      </w:r>
    </w:p>
    <w:p>
      <w:pPr>
        <w:pStyle w:val="TextBody"/>
        <w:bidi w:val="0"/>
        <w:spacing w:before="240" w:after="0"/>
        <w:jc w:val="both"/>
        <w:rPr>
          <w:rFonts w:ascii="Times New Roman" w:hAnsi="Times New Roman"/>
          <w:sz w:val="20"/>
        </w:rPr>
      </w:pPr>
      <w:r>
        <w:rPr>
          <w:rFonts w:ascii="Times New Roman" w:hAnsi="Times New Roman"/>
          <w:sz w:val="20"/>
        </w:rPr>
        <w:t xml:space="preserve">The ongoing STRIDES clinical trial is the first of these and aims to establish proof of concept in obesity and evaluate the ability of azelaprag to enhance weight loss in combination with tirzepatide in adults aged 55 and above with obesity, an age group that represents 35-40% of the adult obese population in the U.S. We chose to initially establish proof of concept in these older patients given the strong muscle and metabolic benefits of azelaprag observed in our Phase 1b clinical trial in older patients. </w:t>
      </w:r>
    </w:p>
    <w:p>
      <w:pPr>
        <w:pStyle w:val="TextBody"/>
        <w:bidi w:val="0"/>
        <w:spacing w:before="240" w:after="0"/>
        <w:jc w:val="both"/>
        <w:rPr>
          <w:rFonts w:ascii="Times New Roman" w:hAnsi="Times New Roman"/>
          <w:sz w:val="20"/>
        </w:rPr>
      </w:pPr>
      <w:r>
        <w:rPr>
          <w:rFonts w:ascii="Times New Roman" w:hAnsi="Times New Roman"/>
          <w:sz w:val="20"/>
        </w:rPr>
        <w:t xml:space="preserve">We have selected a 5 mg dose of tirzepatide in the STRIDES clinical trial given it approximates oral efficacy. Our ultimate goal is to develop azelaprag as part of an all-oral obesity combination therapy. The 5 mg dose of tirzepatide achieves similar weight loss as the most advanced oral in development, oral semaglutide. Tirzepatide 5 mg achieved 15.0% overall weight loss at 72 weeks; oral semaglutide 50 mg, achieved 15.1% weight loss after 68 weeks. </w:t>
      </w:r>
    </w:p>
    <w:p>
      <w:pPr>
        <w:pStyle w:val="TextBody"/>
        <w:bidi w:val="0"/>
        <w:spacing w:before="240" w:after="0"/>
        <w:jc w:val="both"/>
        <w:rPr>
          <w:rFonts w:ascii="Times New Roman" w:hAnsi="Times New Roman"/>
          <w:sz w:val="20"/>
        </w:rPr>
      </w:pPr>
      <w:r>
        <w:rPr>
          <w:rFonts w:ascii="Times New Roman" w:hAnsi="Times New Roman"/>
          <w:sz w:val="20"/>
        </w:rPr>
        <w:t xml:space="preserve">We plan to investigate two doses of azelaprag, 300 mg QD and 300 mg BID (which has potential for 600 mg QD dose formulation) in combination with tirzepatide as compared to tirzepatide alone. The doses were selected based on a completed Phase 1 oral pharmacokinetic trial; they are intended to result in azelaprag exposures (area under the curve) that bracket the similar exposure achieved in the Phase 1b bed rest trial and diet-induced obesity preclinical studies. These doses will be administered orally in combination with weekly subcutaneous tirzepatide. We are collaborating with Lillys Chorus clinical development organization, which will provide clinical trial design and execution expertise, and Lilly, which is supplying tirzepatide. We retain all rights to azelaprag.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primary endpoint of the STRIDES clinical trial is mean percent weight loss at 24 weeks with exploratory endpoints focused on body composition, glycemic control, patient-reported outcomes / quality of life, biomarkers, and rebound weight gain. We set the primary endpoint at 24 weeks because there is lower variability in tirzepatide monotherapy weight loss compared to later time points in clinical trials, and because Lilly has found weight loss at 24 weeks to be predictive for weight loss at 72 weeks (one year of treatment once the maintenance dose is reached). The trial has 90% power to detect a 3.3% difference between treatment groups (azelaprag plus tirzepatide versus tirzepatide alone) in weight loss at 24 weeks of treatment, which is expected to correspond to 5% at one year of treatment. FDAs 2007 draft guidance for development of weight management products states that a 5% treatment difference compared to placebo can be evidence of effectiveness in Phase 3 trials. A 5%+ benefit in weight loss for azelaprag could also translate into potential 20%+ overall weight loss in an oral combination, a competitive efficacy benchmark; for reference, the most advanced oral incretin in development, oral semaglutide, achieves 15.1% overall weight loss at 68 weeks. </w:t>
      </w:r>
    </w:p>
    <w:p>
      <w:pPr>
        <w:pStyle w:val="TextBody"/>
        <w:bidi w:val="0"/>
        <w:spacing w:before="240" w:after="0"/>
        <w:jc w:val="both"/>
        <w:rPr>
          <w:rFonts w:ascii="Times New Roman" w:hAnsi="Times New Roman"/>
          <w:sz w:val="20"/>
        </w:rPr>
      </w:pPr>
      <w:r>
        <w:rPr>
          <w:rFonts w:ascii="Times New Roman" w:hAnsi="Times New Roman"/>
          <w:sz w:val="20"/>
        </w:rPr>
        <w:t xml:space="preserve">We anticipate topline results from this trial in the third quarter of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45046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5779135" cy="245046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Design of Phase 2 STRIDES clinical trial of azelaprag in combination with tirzepatide. </w:t>
      </w:r>
    </w:p>
    <w:p>
      <w:pPr>
        <w:pStyle w:val="TextBody"/>
        <w:bidi w:val="0"/>
        <w:spacing w:before="240" w:after="0"/>
        <w:jc w:val="both"/>
        <w:rPr>
          <w:rFonts w:ascii="Times New Roman" w:hAnsi="Times New Roman"/>
          <w:sz w:val="20"/>
        </w:rPr>
      </w:pPr>
      <w:r>
        <w:rPr>
          <w:rFonts w:ascii="Times New Roman" w:hAnsi="Times New Roman"/>
          <w:sz w:val="20"/>
        </w:rPr>
        <w:t xml:space="preserve">We intend to initiate an additional Phase 2 clinical trial in the first half of 2025 that will evaluate the potential of azelaprag to stimulate increased weight loss when administered in combination with semaglutide. The incremental goals of the trial are to support an incretin class effect and age-agnostic benefits over a year of treatment. The trial will enroll younger obese individuals, ages 18 and above. We intend to use the approved 2.4 mg dose of semaglutide in this trial, delivered weekly with subcutaneous injection, in combination with the same azelaprag doses used in the STRIDES clinical trial. This dose achieved 14.9% overall weight loss at 68 weeks, similar to the 5 mg tirzepatide dose in the STRIDES clinical trial. </w:t>
      </w:r>
    </w:p>
    <w:p>
      <w:pPr>
        <w:pStyle w:val="TextBody"/>
        <w:bidi w:val="0"/>
        <w:spacing w:before="240" w:after="0"/>
        <w:jc w:val="both"/>
        <w:rPr>
          <w:rFonts w:ascii="Times New Roman" w:hAnsi="Times New Roman"/>
          <w:sz w:val="20"/>
        </w:rPr>
      </w:pPr>
      <w:r>
        <w:rPr>
          <w:rFonts w:ascii="Times New Roman" w:hAnsi="Times New Roman"/>
          <w:sz w:val="20"/>
        </w:rPr>
        <w:t xml:space="preserve">The primary endpoint will be percent weight loss at 52 weeks, with similar exploratory endpoints as the STRIDES clinical trial. The study has 90% power to detect a 5% improvement in weight loss after one year of treatment, the difference stated in FDA guidance as providing evidence of effectiveness in Phase 3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450465"/>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5779135" cy="245046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Design of Phase 2 clinical trial of azelaprag in combination with semaglutide.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Indication expansion opportunities </w:t>
      </w:r>
    </w:p>
    <w:p>
      <w:pPr>
        <w:pStyle w:val="TextBody"/>
        <w:bidi w:val="0"/>
        <w:spacing w:before="120" w:after="0"/>
        <w:jc w:val="both"/>
        <w:rPr>
          <w:rFonts w:ascii="Times New Roman" w:hAnsi="Times New Roman"/>
          <w:sz w:val="20"/>
        </w:rPr>
      </w:pPr>
      <w:r>
        <w:rPr>
          <w:rFonts w:ascii="Times New Roman" w:hAnsi="Times New Roman"/>
          <w:sz w:val="20"/>
        </w:rPr>
        <w:t xml:space="preserve">Incretins have many potential applications in indications driven by obesity, where weight loss improves or resolves disease symptoms. We intend to focus azelaprag indication expansion on two indications where the apelin mechanism, in combination with an incretin, has the potential to provide therapeutic benefits beyond those driven by increased weight loss: </w:t>
      </w:r>
    </w:p>
    <w:p>
      <w:pPr>
        <w:pStyle w:val="TextBody"/>
        <w:bidi w:val="0"/>
        <w:spacing w:before="360" w:after="0"/>
        <w:jc w:val="left"/>
        <w:rPr>
          <w:rFonts w:ascii="Times New Roman" w:hAnsi="Times New Roman"/>
          <w:i/>
          <w:sz w:val="20"/>
        </w:rPr>
      </w:pPr>
      <w:r>
        <w:rPr>
          <w:rFonts w:ascii="Times New Roman" w:hAnsi="Times New Roman"/>
          <w:i/>
          <w:sz w:val="20"/>
        </w:rPr>
        <w:t xml:space="preserve">Type 2 diabetes. </w:t>
      </w:r>
    </w:p>
    <w:p>
      <w:pPr>
        <w:pStyle w:val="TextBody"/>
        <w:bidi w:val="0"/>
        <w:spacing w:before="120" w:after="0"/>
        <w:jc w:val="both"/>
        <w:rPr>
          <w:rFonts w:ascii="Times New Roman" w:hAnsi="Times New Roman"/>
          <w:sz w:val="20"/>
        </w:rPr>
      </w:pPr>
      <w:r>
        <w:rPr>
          <w:rFonts w:ascii="Times New Roman" w:hAnsi="Times New Roman"/>
          <w:sz w:val="20"/>
        </w:rPr>
        <w:t xml:space="preserve">According to the CDC, 90% of people with type 2 diabetes are overweight or obese. While incretins improve glucose control, efficacy currently lags with oral medications: Rybelsus (oral semaglutide 14mg), the only oral GLP-1R approved by the FDA for type 2 diabetes, led to 64% of T2D patients achieving hemoglobin A1c &lt; 6.5% (target range for T2D at which disease is well-controlled) vs.79% with tirzepatide. </w:t>
      </w:r>
    </w:p>
    <w:p>
      <w:pPr>
        <w:pStyle w:val="TextBody"/>
        <w:bidi w:val="0"/>
        <w:spacing w:before="120" w:after="0"/>
        <w:jc w:val="both"/>
        <w:rPr>
          <w:rFonts w:ascii="Times New Roman" w:hAnsi="Times New Roman"/>
          <w:sz w:val="20"/>
        </w:rPr>
      </w:pPr>
      <w:r>
        <w:rPr>
          <w:rFonts w:ascii="Times New Roman" w:hAnsi="Times New Roman"/>
          <w:sz w:val="20"/>
        </w:rPr>
        <w:t xml:space="preserve">There is evidence indicating apelin has the potential to directly improve insulin sensitivity and glucose control. In a small randomized, double-blind, placebo-controlled, cross-over clinical trial of overweight men conducted at the Institut National De La Sante Et De La Recherche Medicale (INSERM), infusion of apelin-13 peptide (30 nmol/kg) significantly improved insulin sensitivity in eight participants using a hyperinsulinemic-euglycemic clamp technique (p&lt;0.05). In the third-party preclinical literature, apelin knockout mice experienced impaired performance on an insulin tolerance test (p&lt;0.01, n=6-7 mice per group) (Yue et al. 2010). By contrast, intravenous administration of apelin peptide (200 pmol/kg) to obese, insulin-resistant mice improved performance on an oral glucose tolerance test (p&lt;0.05, n=6 mice per group) (Dray et al. 2008). </w:t>
      </w:r>
    </w:p>
    <w:p>
      <w:pPr>
        <w:pStyle w:val="TextBody"/>
        <w:bidi w:val="0"/>
        <w:spacing w:before="240" w:after="0"/>
        <w:jc w:val="both"/>
        <w:rPr>
          <w:rFonts w:ascii="Times New Roman" w:hAnsi="Times New Roman"/>
          <w:sz w:val="20"/>
        </w:rPr>
      </w:pPr>
      <w:r>
        <w:rPr>
          <w:rFonts w:ascii="Times New Roman" w:hAnsi="Times New Roman"/>
          <w:sz w:val="20"/>
        </w:rPr>
        <w:t xml:space="preserve">We intend to initiate an insulin sensitivity proof-of-concept trial of azelaprag monotherapy in the first half of 2025. We expect to report topline results from this proof-of-concept trial in the second half of 2025. The goal of the trial is to assess the potential direct benefits of azelaprag that are independent of weight loss, informing potential subsequent development for treatment of obesity with comorbid type 2 diabetes in combination with a GLP-1R agonist. </w:t>
      </w:r>
    </w:p>
    <w:p>
      <w:pPr>
        <w:pStyle w:val="TextBody"/>
        <w:bidi w:val="0"/>
        <w:spacing w:before="360" w:after="0"/>
        <w:jc w:val="left"/>
        <w:rPr>
          <w:rFonts w:ascii="Times New Roman" w:hAnsi="Times New Roman"/>
          <w:i/>
          <w:sz w:val="20"/>
        </w:rPr>
      </w:pPr>
      <w:r>
        <w:rPr>
          <w:rFonts w:ascii="Times New Roman" w:hAnsi="Times New Roman"/>
          <w:i/>
          <w:sz w:val="20"/>
        </w:rPr>
        <w:t xml:space="preserve">Heart failure with preserved ejection fraction (HFpEF). </w:t>
      </w:r>
    </w:p>
    <w:p>
      <w:pPr>
        <w:pStyle w:val="TextBody"/>
        <w:bidi w:val="0"/>
        <w:spacing w:before="120" w:after="0"/>
        <w:jc w:val="both"/>
        <w:rPr>
          <w:rFonts w:ascii="Times New Roman" w:hAnsi="Times New Roman"/>
          <w:sz w:val="20"/>
        </w:rPr>
      </w:pPr>
      <w:r>
        <w:rPr>
          <w:rFonts w:ascii="Times New Roman" w:hAnsi="Times New Roman"/>
          <w:sz w:val="20"/>
        </w:rPr>
        <w:t xml:space="preserve">HFpEF represents nearly half of all heart failure cases in the U.S. with prevalence of more than 3 million. Obesity is a significant risk factor for HFpEF: at least 80% of patients with HFpEF are overweight or obese. Unmet need is very high as there are very few effective therapies, resulting in high morbidity and mortality, and poor quality of life. There are several ongoing clinical trials in HFpEF with incretins and other weight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interventions. A recent trial of semaglutide 2.4 mg delivered weekly via injection showed significant improvements in symptoms and exercise function, in addition to greater weight loss, after 52 weeks of treatment. </w:t>
      </w:r>
    </w:p>
    <w:p>
      <w:pPr>
        <w:pStyle w:val="TextBody"/>
        <w:bidi w:val="0"/>
        <w:spacing w:before="240" w:after="0"/>
        <w:jc w:val="both"/>
        <w:rPr>
          <w:rFonts w:ascii="Times New Roman" w:hAnsi="Times New Roman"/>
          <w:sz w:val="20"/>
        </w:rPr>
      </w:pPr>
      <w:r>
        <w:rPr>
          <w:rFonts w:ascii="Times New Roman" w:hAnsi="Times New Roman"/>
          <w:sz w:val="20"/>
        </w:rPr>
        <w:t xml:space="preserve">Amgen demonstrated the specific therapeutic potential of azelaprag in preclinical heart failure models. In ZSF1 obese rats, a model of HFpEF, acute administration of azelaprag increased left ventricular pressure (dP/dtmax, p=0.004), cardiac output (p=0.004), stroke volume (p=0.036), and ejection fraction (p=0.014) (n=16-17 per group). In addition, azelaprag significantly improved cardiac reserve in these rats. </w:t>
      </w:r>
    </w:p>
    <w:p>
      <w:pPr>
        <w:pStyle w:val="TextBody"/>
        <w:bidi w:val="0"/>
        <w:spacing w:before="360" w:after="0"/>
        <w:jc w:val="left"/>
        <w:rPr>
          <w:rFonts w:ascii="Times New Roman" w:hAnsi="Times New Roman"/>
          <w:b/>
          <w:sz w:val="20"/>
        </w:rPr>
      </w:pPr>
      <w:r>
        <w:rPr>
          <w:rFonts w:ascii="Times New Roman" w:hAnsi="Times New Roman"/>
          <w:b/>
          <w:sz w:val="20"/>
        </w:rPr>
        <w:t xml:space="preserve">NLRP3 inhibitors for the treatment of neuroinflammation; IND submission anticipated in      followed by Phase 1 initiation </w:t>
      </w:r>
    </w:p>
    <w:p>
      <w:pPr>
        <w:pStyle w:val="TextBody"/>
        <w:bidi w:val="0"/>
        <w:spacing w:before="120" w:after="0"/>
        <w:jc w:val="both"/>
        <w:rPr>
          <w:rFonts w:ascii="Times New Roman" w:hAnsi="Times New Roman"/>
          <w:sz w:val="20"/>
        </w:rPr>
      </w:pPr>
      <w:r>
        <w:rPr>
          <w:rFonts w:ascii="Times New Roman" w:hAnsi="Times New Roman"/>
          <w:sz w:val="20"/>
        </w:rPr>
        <w:t xml:space="preserve">We are developing potent, selective, and structurally novel penetrant NLRP3 inhibitors, for the treatment of neuroinflammation. </w:t>
      </w:r>
    </w:p>
    <w:p>
      <w:pPr>
        <w:pStyle w:val="TextBody"/>
        <w:bidi w:val="0"/>
        <w:spacing w:before="120" w:after="0"/>
        <w:jc w:val="both"/>
        <w:rPr>
          <w:rFonts w:ascii="Times New Roman" w:hAnsi="Times New Roman"/>
          <w:sz w:val="20"/>
        </w:rPr>
      </w:pPr>
      <w:r>
        <w:rPr>
          <w:rFonts w:ascii="Times New Roman" w:hAnsi="Times New Roman"/>
          <w:sz w:val="20"/>
        </w:rPr>
        <w:t xml:space="preserve">BGE-100, our most advanced compound, is designed with chemical properties (e.g., potency, brain penetration) and a binding site that distinguish it from other NLRP3 inhibitors in development. </w:t>
      </w:r>
    </w:p>
    <w:p>
      <w:pPr>
        <w:pStyle w:val="TextBody"/>
        <w:bidi w:val="0"/>
        <w:spacing w:before="240" w:after="0"/>
        <w:jc w:val="both"/>
        <w:rPr>
          <w:rFonts w:ascii="Times New Roman" w:hAnsi="Times New Roman"/>
          <w:sz w:val="20"/>
        </w:rPr>
      </w:pPr>
      <w:r>
        <w:rPr>
          <w:rFonts w:ascii="Times New Roman" w:hAnsi="Times New Roman"/>
          <w:sz w:val="20"/>
        </w:rPr>
        <w:t xml:space="preserve">We have demonstrated that BGE-100 is orally bioavailable and highly brain-penetrant in multiple species, and capable of potently inhibiting NLRP3 activity in mouse </w:t>
      </w:r>
      <w:r>
        <w:rPr>
          <w:rFonts w:ascii="Times New Roman" w:hAnsi="Times New Roman"/>
          <w:i/>
          <w:sz w:val="20"/>
        </w:rPr>
        <w:t>in vivo</w:t>
      </w:r>
      <w:r>
        <w:rPr>
          <w:rFonts w:ascii="Times New Roman" w:hAnsi="Times New Roman"/>
          <w:sz w:val="20"/>
        </w:rPr>
        <w:t xml:space="preserve"> and human whole blood </w:t>
      </w:r>
      <w:r>
        <w:rPr>
          <w:rFonts w:ascii="Times New Roman" w:hAnsi="Times New Roman"/>
          <w:i/>
          <w:sz w:val="20"/>
        </w:rPr>
        <w:t>ex vivo</w:t>
      </w:r>
      <w:r>
        <w:rPr>
          <w:rFonts w:ascii="Times New Roman" w:hAnsi="Times New Roman"/>
          <w:sz w:val="20"/>
        </w:rPr>
        <w:t xml:space="preserve"> assays. BGE-100 was discovered by BioAge chemists by screening a HitGen DNA-encoded chemical library. </w:t>
      </w:r>
    </w:p>
    <w:p>
      <w:pPr>
        <w:pStyle w:val="TextBody"/>
        <w:bidi w:val="0"/>
        <w:spacing w:before="240" w:after="0"/>
        <w:jc w:val="both"/>
        <w:rPr>
          <w:rFonts w:ascii="Times New Roman" w:hAnsi="Times New Roman"/>
          <w:sz w:val="20"/>
        </w:rPr>
      </w:pPr>
      <w:r>
        <w:rPr>
          <w:rFonts w:ascii="Times New Roman" w:hAnsi="Times New Roman"/>
          <w:sz w:val="20"/>
        </w:rPr>
        <w:t xml:space="preserve">Through a collaboration with Dr. Matthias Geyer at the University of Bonn, we identified the specific binding site of BGE-100 on NLRP3. This enabled the discovery of next-generation NLRP3 inhibitors with superior binding affinity, 50 to 100 times more potent than BGE-100. </w:t>
      </w:r>
    </w:p>
    <w:p>
      <w:pPr>
        <w:pStyle w:val="TextBody"/>
        <w:bidi w:val="0"/>
        <w:spacing w:before="0" w:after="0"/>
        <w:jc w:val="left"/>
        <w:rPr/>
      </w:pPr>
      <w:r>
        <w:rPr/>
        <w:t> </w:t>
      </w:r>
    </w:p>
    <w:p>
      <w:pPr>
        <w:pStyle w:val="TextBody"/>
        <w:bidi w:val="0"/>
        <w:spacing w:before="0" w:after="0"/>
        <w:jc w:val="center"/>
        <w:rPr/>
      </w:pPr>
      <w:r>
        <w:rPr/>
        <w:drawing>
          <wp:inline distT="0" distB="0" distL="0" distR="0">
            <wp:extent cx="4989830" cy="381635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4989830" cy="381635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BGE-100, and other NLRP3 inhibitors in the chemical series discovered by BioAge, bind in a region of NLRP3 that is distinct from other NLRP3 inhibitors described to date (e.g., MCC950). Collaboration with Dr. Matthias Geyer, Institute of Structural Biology, University of Bonn.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intend to submit an IND for an NLRP3 inhibitor to the FDA in the second half of 2025 and, if cleared, initiate a Phase 1 trial to evaluate safety, tolerability, pharmacokinetics and pharmacodynamics in the first half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NLRP3 and inflammationa predictor of decreased longevity </w:t>
      </w:r>
    </w:p>
    <w:p>
      <w:pPr>
        <w:pStyle w:val="TextBody"/>
        <w:bidi w:val="0"/>
        <w:spacing w:before="120" w:after="0"/>
        <w:jc w:val="both"/>
        <w:rPr>
          <w:rFonts w:ascii="Times New Roman" w:hAnsi="Times New Roman"/>
          <w:sz w:val="20"/>
        </w:rPr>
      </w:pPr>
      <w:r>
        <w:rPr>
          <w:rFonts w:ascii="Times New Roman" w:hAnsi="Times New Roman"/>
          <w:sz w:val="20"/>
        </w:rPr>
        <w:t xml:space="preserve">NLRP3 is a component of a multi-protein complex referred to as the inflammasome, part of the innate immune system that activates inflammation upon recognition of pathogens. Activation of the NLRP3 inflammasome leads to the secretion of inflammatory cytokines interleukin 1 beta (IL-1ß) and interleukin 18 (IL-18). We found that increased transcription of genes for all three of these proteins in our human aging cohorts was associated with significantly increased all-cause mortality risk. Consistent with our findings that NLRP3 can have detrimental effects on human longevity, previous studies have shown that genetic deletion of NLRP3 significantly extended mouse lifespan and healthspan as measured by parameters such as muscle strength (e.g., muscle size, wire hang latency to fall) and cognitive function (e.g., preserved contextual memory).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135" cy="26670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5779135" cy="266700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Levels of NLRP3-associated proteins (principal component) are inversely related to mortality risk in our human aging cohorts (left). Consistently, in a third-party preclinical study, knockout of the NLRP3 gene in mice significantly extends lifespan (n = 10 mice per group) (right). (Source: Marín-Aguilar et al. 2020). </w:t>
      </w:r>
    </w:p>
    <w:p>
      <w:pPr>
        <w:pStyle w:val="TextBody"/>
        <w:bidi w:val="0"/>
        <w:spacing w:before="360" w:after="0"/>
        <w:jc w:val="left"/>
        <w:rPr>
          <w:rFonts w:ascii="Times New Roman" w:hAnsi="Times New Roman"/>
          <w:b/>
          <w:i/>
          <w:sz w:val="20"/>
        </w:rPr>
      </w:pPr>
      <w:r>
        <w:rPr>
          <w:rFonts w:ascii="Times New Roman" w:hAnsi="Times New Roman"/>
          <w:b/>
          <w:i/>
          <w:sz w:val="20"/>
        </w:rPr>
        <w:t xml:space="preserve">Targeting NLRP3 in the braintherapeutic applications </w:t>
      </w:r>
    </w:p>
    <w:p>
      <w:pPr>
        <w:pStyle w:val="TextBody"/>
        <w:bidi w:val="0"/>
        <w:spacing w:before="120" w:after="0"/>
        <w:jc w:val="both"/>
        <w:rPr>
          <w:rFonts w:ascii="Times New Roman" w:hAnsi="Times New Roman"/>
          <w:sz w:val="20"/>
        </w:rPr>
      </w:pPr>
      <w:r>
        <w:rPr>
          <w:rFonts w:ascii="Times New Roman" w:hAnsi="Times New Roman"/>
          <w:sz w:val="20"/>
        </w:rPr>
        <w:t xml:space="preserve">NLRP3-driven neuroinflammation has been implicated in a variety of diseases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Obesity. Studies have suggested that activation of inflammatory responses in the hypothalamus is associated with diet-induced obesity and may be a key mechanism driving its development. Recent data showed that a brain-penetrant NLRP3 inhibitor unrelated to BGE-100 led to weight loss in a diet-induced obesity mouse model that was similar in magnitude to that of semaglutide. In a third-party 28-day Phase 1b/2a trial in obese adults with cardiovascular risk factors, this inhibitor showed a statistically and clinically meaningful reduction in C-reactive protein.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Neurodegeneration. Studies have increasingly shown that the activation of the NLRP3 inflammasome may play a role in the pathogenesis of both Parkinsons disease (PD) and Alzheimers disease (AD). In a mouse model of PD, inhibition of NLRP3 reduced motor dysfunction and neurodegeneration. In AD, NLRP3 is substantially elevated in the brain, and activation of the NLRP3 inflammasome enhances aggregation or amyloid ß.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Development plans for our NLRP3 Inhibitor Program </w:t>
      </w:r>
    </w:p>
    <w:p>
      <w:pPr>
        <w:pStyle w:val="TextBody"/>
        <w:bidi w:val="0"/>
        <w:spacing w:before="120" w:after="0"/>
        <w:jc w:val="both"/>
        <w:rPr>
          <w:rFonts w:ascii="Times New Roman" w:hAnsi="Times New Roman"/>
          <w:sz w:val="20"/>
        </w:rPr>
      </w:pPr>
      <w:r>
        <w:rPr>
          <w:rFonts w:ascii="Times New Roman" w:hAnsi="Times New Roman"/>
          <w:sz w:val="20"/>
        </w:rPr>
        <w:t xml:space="preserve">We intend to submit an IND for an NLRP3 inhibitor to the FDA in the second half of 2025 and, if cleared, initiate a Phase 1 trial to evaluate safety, tolerability, pharmacokinetics and pharmacodynamics in the first half of 2026. </w:t>
      </w:r>
    </w:p>
    <w:p>
      <w:pPr>
        <w:pStyle w:val="TextBody"/>
        <w:bidi w:val="0"/>
        <w:spacing w:before="360" w:after="0"/>
        <w:jc w:val="left"/>
        <w:rPr>
          <w:rFonts w:ascii="Times New Roman" w:hAnsi="Times New Roman"/>
          <w:b/>
          <w:sz w:val="20"/>
        </w:rPr>
      </w:pPr>
      <w:r>
        <w:rPr>
          <w:rFonts w:ascii="Times New Roman" w:hAnsi="Times New Roman"/>
          <w:b/>
          <w:sz w:val="20"/>
        </w:rPr>
        <w:t xml:space="preserve">Our platform for discovery of novel targets that drive human metabolic aging </w:t>
      </w:r>
    </w:p>
    <w:p>
      <w:pPr>
        <w:pStyle w:val="TextBody"/>
        <w:bidi w:val="0"/>
        <w:spacing w:before="120" w:after="0"/>
        <w:jc w:val="both"/>
        <w:rPr>
          <w:rFonts w:ascii="Times New Roman" w:hAnsi="Times New Roman"/>
          <w:sz w:val="20"/>
        </w:rPr>
      </w:pPr>
      <w:r>
        <w:rPr>
          <w:rFonts w:ascii="Times New Roman" w:hAnsi="Times New Roman"/>
          <w:sz w:val="20"/>
        </w:rPr>
        <w:t xml:space="preserve">We have built a target discovery capability specifically designed to identify and validate drug targets that drive metabolic aging and age-related diseases in humans. Our approach combines: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Long-term longitudinal cohorts of naturally aging individuals. </w:t>
            </w:r>
            <w:r>
              <w:rPr>
                <w:rFonts w:ascii="Times New Roman" w:hAnsi="Times New Roman"/>
                <w:sz w:val="20"/>
              </w:rPr>
              <w:t xml:space="preserve">We have generated proprietary datasets based on serial biological samples from cohort studies that satisfy a set of unusual and valuable requirements for the study of aging biology: (1) being composed of healthy aging adults originally recruited decades in the past, (2) having followed subject outcomes and collected deep healthspan data continuously to the present day, and (3) having collected longitudinal biosamples that have also been maintained to the present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Serial multi-omic molecular profiling</w:t>
            </w:r>
            <w:r>
              <w:rPr>
                <w:rFonts w:ascii="Times New Roman" w:hAnsi="Times New Roman"/>
                <w:sz w:val="20"/>
              </w:rPr>
              <w:t xml:space="preserve">. Through partnerships with companies using state-of-the-art molecular profiling techniques, we quantified thousands of components from these samples, such as proteins and metabolites, with high sensitivity.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 xml:space="preserve">Data science analysis. </w:t>
            </w:r>
            <w:r>
              <w:rPr>
                <w:rFonts w:ascii="Times New Roman" w:hAnsi="Times New Roman"/>
                <w:sz w:val="20"/>
              </w:rPr>
              <w:t xml:space="preserve">We have developed a suite of analytic approaches allowing us to integrate longitudinal molecular profiles with clinical and health outcome data to directly decode the biology that drive disparate aging trajectories and metabolic aging and related health outcomes and identify novel drug targets for treating metabolic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Expertise in aging biology</w:t>
            </w:r>
            <w:r>
              <w:rPr>
                <w:rFonts w:ascii="Times New Roman" w:hAnsi="Times New Roman"/>
                <w:sz w:val="20"/>
              </w:rPr>
              <w:t xml:space="preserve">. We apply our knowledge of the aging process, including our own large colony of naturally aged rodents, to validate potential drug targets in relevant </w:t>
            </w:r>
            <w:r>
              <w:rPr>
                <w:rFonts w:ascii="Times New Roman" w:hAnsi="Times New Roman"/>
                <w:i/>
                <w:sz w:val="20"/>
              </w:rPr>
              <w:t>in vitro</w:t>
            </w:r>
            <w:r>
              <w:rPr>
                <w:rFonts w:ascii="Times New Roman" w:hAnsi="Times New Roman"/>
                <w:sz w:val="20"/>
              </w:rPr>
              <w:t xml:space="preserve"> and </w:t>
            </w:r>
            <w:r>
              <w:rPr>
                <w:rFonts w:ascii="Times New Roman" w:hAnsi="Times New Roman"/>
                <w:i/>
                <w:sz w:val="20"/>
              </w:rPr>
              <w:t>in vivo</w:t>
            </w:r>
            <w:r>
              <w:rPr>
                <w:rFonts w:ascii="Times New Roman" w:hAnsi="Times New Roman"/>
                <w:sz w:val="20"/>
              </w:rPr>
              <w:t xml:space="preserve"> models of age-related metabolic disorders.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Technology-forward approach to clinical trials.</w:t>
            </w:r>
            <w:r>
              <w:rPr>
                <w:rFonts w:ascii="Times New Roman" w:hAnsi="Times New Roman"/>
                <w:sz w:val="20"/>
              </w:rPr>
              <w:t xml:space="preserve"> We aim to maximize the value of our clinical trials by leveraging advanced analytic approaches to quantify participants biology and health, derive mechanistic insights, and link trial observations back to long-term healthspan outcomes from our natural aging cohorts. Examples from prior and ongoing trials include plasma proteomic profiling, wearable devices, protein synthetic rate analysis, and single-nucleus RNA sequencing of biopsy samples.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011295" cy="1786255"/>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4011295" cy="17862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The BioAge platform encompasses over 50 million molecular data points spanning over 10 thousand individual participant profiles and over 50 years of follow-up.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Approach for identifying novel targets based on unique insights into human aging biology </w:t>
      </w:r>
    </w:p>
    <w:p>
      <w:pPr>
        <w:pStyle w:val="TextBody"/>
        <w:bidi w:val="0"/>
        <w:spacing w:before="120" w:after="0"/>
        <w:jc w:val="both"/>
        <w:rPr>
          <w:rFonts w:ascii="Times New Roman" w:hAnsi="Times New Roman"/>
          <w:sz w:val="20"/>
        </w:rPr>
      </w:pPr>
      <w:r>
        <w:rPr>
          <w:rFonts w:ascii="Times New Roman" w:hAnsi="Times New Roman"/>
          <w:sz w:val="20"/>
        </w:rPr>
        <w:t xml:space="preserve">We have negotiated favorable agreements with biobanks to access long-term longitudinal cohorts of individuals with serially biobanked samples who were enrolled as healthy adults and followed for over 50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these cohorts, we have detailed medical records and physiological measurements systematically collected over the course of these studies, including lifespan outcomes, such as all-cause and disease-specific mortality; functional healthspan outcomes such as grip strength and walking speed; and disease outcomes such as cognitive scores and dementia diagnoses, cardiovascular disease progression, BMI and skinfold thickness. </w:t>
      </w:r>
    </w:p>
    <w:p>
      <w:pPr>
        <w:pStyle w:val="TextBody"/>
        <w:bidi w:val="0"/>
        <w:spacing w:before="240" w:after="0"/>
        <w:jc w:val="both"/>
        <w:rPr>
          <w:rFonts w:ascii="Times New Roman" w:hAnsi="Times New Roman"/>
          <w:sz w:val="20"/>
        </w:rPr>
      </w:pPr>
      <w:r>
        <w:rPr>
          <w:rFonts w:ascii="Times New Roman" w:hAnsi="Times New Roman"/>
          <w:sz w:val="20"/>
        </w:rPr>
        <w:t xml:space="preserve">The biobanks to which we have secured access are from distinct geographical regions and include samples from individuals whose demographics are representative of those regions, enabling us to identify aging processes that are conserved across populations and environmental backgrounds.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1585" cy="3258185"/>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3791585" cy="3258185"/>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Example of longitudinal lifespan and health outcomes captured in human aging cohorts. CVD: Cardiovascular. ApoE: Apolipoprotein E. </w:t>
      </w:r>
    </w:p>
    <w:p>
      <w:pPr>
        <w:pStyle w:val="TextBody"/>
        <w:bidi w:val="0"/>
        <w:spacing w:before="240" w:after="0"/>
        <w:jc w:val="both"/>
        <w:rPr>
          <w:rFonts w:ascii="Times New Roman" w:hAnsi="Times New Roman"/>
          <w:sz w:val="20"/>
        </w:rPr>
      </w:pPr>
      <w:r>
        <w:rPr>
          <w:rFonts w:ascii="Times New Roman" w:hAnsi="Times New Roman"/>
          <w:sz w:val="20"/>
        </w:rPr>
        <w:t xml:space="preserve">We partner with organizations and companies leading the development of highly sensitive multi-omic molecular profiling technologies, including SomaLogic and Metabolon, to identify and quantify components of longitudinally biobanked serum and plasma specimens from our aging cohorts. The capabilities that these organizations and companies bring allow us to generate molecular profiles with more detail than had previously been possible. </w:t>
      </w:r>
    </w:p>
    <w:p>
      <w:pPr>
        <w:pStyle w:val="TextBody"/>
        <w:bidi w:val="0"/>
        <w:spacing w:before="240" w:after="0"/>
        <w:jc w:val="both"/>
        <w:rPr>
          <w:rFonts w:ascii="Times New Roman" w:hAnsi="Times New Roman"/>
          <w:sz w:val="20"/>
        </w:rPr>
      </w:pPr>
      <w:r>
        <w:rPr>
          <w:rFonts w:ascii="Times New Roman" w:hAnsi="Times New Roman"/>
          <w:sz w:val="20"/>
        </w:rPr>
        <w:t xml:space="preserve">We combine proteomics and metabolomics with orthogonal data such as clinical outcomes and healthspan phenotypes to obtain insights into the underlying pathways and potential targets that predispose individuals to age more quickly or be more resistant to developing multi-morbidity. Our goal as a company is to use these insights to develop pharmaceuticals that can treat a range of metabolic diseases driven by aging. </w:t>
      </w:r>
    </w:p>
    <w:p>
      <w:pPr>
        <w:pStyle w:val="TextBody"/>
        <w:bidi w:val="0"/>
        <w:spacing w:before="240" w:after="0"/>
        <w:jc w:val="both"/>
        <w:rPr>
          <w:rFonts w:ascii="Times New Roman" w:hAnsi="Times New Roman"/>
          <w:sz w:val="20"/>
        </w:rPr>
      </w:pPr>
      <w:r>
        <w:rPr>
          <w:rFonts w:ascii="Times New Roman" w:hAnsi="Times New Roman"/>
          <w:sz w:val="20"/>
        </w:rPr>
        <w:t xml:space="preserve">We have previously shared the identification of apelin and NLRP3 from our platform. Beyond these targets, there are many promising targets emerging from our data sets. The figure below highlights the many proteins that have significant signals for both longevity as well as multiple health outcomes in our cohort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245735" cy="2520950"/>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5245735" cy="252095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16"/>
        </w:rPr>
      </w:pPr>
      <w:r>
        <w:rPr>
          <w:rFonts w:ascii="Times New Roman" w:hAnsi="Times New Roman"/>
          <w:i/>
          <w:sz w:val="16"/>
        </w:rPr>
        <w:t xml:space="preserve">Circulating proteins are shown based on their magnitude of association with mortality (hazard ratio) in the BioAge human aging cohorts. Proteins are color coded based on significant associations (p&lt;0.05) with future healthspan outcomes representing different organ systems, including grip strength (muscle aging), cognitive scores (brain aging), renal function quantified with cystatin C (kidney aging), and cardiovascular aging. A protein was considered significant for cardiovascular aging if significantly associated with </w:t>
      </w:r>
      <w:r>
        <w:rPr>
          <w:rFonts w:ascii="Times New Roman" w:hAnsi="Times New Roman"/>
          <w:sz w:val="16"/>
        </w:rPr>
        <w:t>≥</w:t>
      </w:r>
      <w:r>
        <w:rPr>
          <w:rFonts w:ascii="Times New Roman" w:hAnsi="Times New Roman"/>
          <w:i/>
          <w:sz w:val="16"/>
        </w:rPr>
        <w:t xml:space="preserve">2+ of the following risk factors: total cholesterol, HDL, LDL, systolic or diastolic BP, fasting glucose, CRP, MCP-1 and ICAM-1. </w:t>
      </w:r>
    </w:p>
    <w:p>
      <w:pPr>
        <w:pStyle w:val="TextBody"/>
        <w:bidi w:val="0"/>
        <w:spacing w:before="240" w:after="0"/>
        <w:jc w:val="both"/>
        <w:rPr>
          <w:rFonts w:ascii="Times New Roman" w:hAnsi="Times New Roman"/>
          <w:sz w:val="20"/>
        </w:rPr>
      </w:pPr>
      <w:r>
        <w:rPr>
          <w:rFonts w:ascii="Times New Roman" w:hAnsi="Times New Roman"/>
          <w:sz w:val="20"/>
        </w:rPr>
        <w:t xml:space="preserve">Our Longevity Map is the result of applying an aging-biology-focused analytic approach that integrates proprietary data originating from our human aging cohorts with public data on aging and target biology to generate powerful insights into human aging mechanisms and targets. Our core analytical pipeline leverages (among other approaches):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longitudinal multi-omic and 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relationships across multiple datasets and data modalities,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network based propagation of biological signals,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causal evidence from genetic signals via a bespoke mendelian randomization analysis.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9135" cy="3392170"/>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5779135" cy="3392170"/>
                    </a:xfrm>
                    <a:prstGeom prst="rect">
                      <a:avLst/>
                    </a:prstGeom>
                  </pic:spPr>
                </pic:pic>
              </a:graphicData>
            </a:graphic>
          </wp:inline>
        </w:drawing>
      </w:r>
      <w:r>
        <w:rPr/>
        <w:t xml:space="preserve"> </w:t>
      </w:r>
    </w:p>
    <w:p>
      <w:pPr>
        <w:pStyle w:val="TextBody"/>
        <w:bidi w:val="0"/>
        <w:spacing w:before="240" w:after="0"/>
        <w:jc w:val="both"/>
        <w:rPr>
          <w:rFonts w:ascii="Times New Roman" w:hAnsi="Times New Roman"/>
          <w:i/>
          <w:sz w:val="16"/>
        </w:rPr>
      </w:pPr>
      <w:r>
        <w:rPr>
          <w:rFonts w:ascii="Times New Roman" w:hAnsi="Times New Roman"/>
          <w:i/>
          <w:sz w:val="16"/>
        </w:rPr>
        <w:t xml:space="preserve">The BioAge Longevity Map integrates novel aging biology and public data to derive insights into aging biology and resulting therapeutic targets. </w:t>
      </w:r>
    </w:p>
    <w:p>
      <w:pPr>
        <w:pStyle w:val="TextBody"/>
        <w:bidi w:val="0"/>
        <w:spacing w:before="240" w:after="0"/>
        <w:jc w:val="both"/>
        <w:rPr>
          <w:rFonts w:ascii="Times New Roman" w:hAnsi="Times New Roman"/>
          <w:sz w:val="20"/>
        </w:rPr>
      </w:pPr>
      <w:r>
        <w:rPr>
          <w:rFonts w:ascii="Times New Roman" w:hAnsi="Times New Roman"/>
          <w:sz w:val="20"/>
        </w:rPr>
        <w:t xml:space="preserve">The apelin and NLRP3 pathways were identified in our platform due to strong associations of pathway activation with long-term health outcomes. It provides strong validation of the platform that in our clinical trials, azelaprag not only showed the acute muscle and metabolic benefits suggested by the platform, but also induced molecular changes independently predictive of the same positive long-term health outcomes that originally distinguished apelin as an attractive therapeutic target. </w:t>
      </w:r>
    </w:p>
    <w:p>
      <w:pPr>
        <w:pStyle w:val="TextBody"/>
        <w:bidi w:val="0"/>
        <w:spacing w:before="240" w:after="0"/>
        <w:jc w:val="both"/>
        <w:rPr>
          <w:rFonts w:ascii="Times New Roman" w:hAnsi="Times New Roman"/>
          <w:sz w:val="20"/>
        </w:rPr>
      </w:pPr>
      <w:r>
        <w:rPr>
          <w:rFonts w:ascii="Times New Roman" w:hAnsi="Times New Roman"/>
          <w:sz w:val="20"/>
        </w:rPr>
        <w:t xml:space="preserve">We are advancing several additional platform targets, currently in discovery stage, which we believe have the potential to transform treatment of metabolic disease. We plan to expand this pipeline over time, both internally and potentially through partnerships with pharmaceutical companies that have complementary datasets and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Exclusive License Agreement with Amgen Inc. </w:t>
      </w:r>
    </w:p>
    <w:p>
      <w:pPr>
        <w:pStyle w:val="TextBody"/>
        <w:bidi w:val="0"/>
        <w:spacing w:before="120" w:after="0"/>
        <w:jc w:val="both"/>
        <w:rPr>
          <w:rFonts w:ascii="Times New Roman" w:hAnsi="Times New Roman"/>
          <w:sz w:val="20"/>
        </w:rPr>
      </w:pPr>
      <w:r>
        <w:rPr>
          <w:rFonts w:ascii="Times New Roman" w:hAnsi="Times New Roman"/>
          <w:sz w:val="20"/>
        </w:rPr>
        <w:t xml:space="preserve">On April 5, 2021, we entered into an exclusive license agreement (the Amgen Agreement) with Amgen Inc. (Amgen) pursuant to which Amgen granted us an exclusive, worldwide license, with the right to sublicense (subject to certain conditions), under Amgens rights in specified patents relating to Amgens proprietary compound, AMG 986, a novel apelin J receptor agonist, to research, develop and commercialize AMG 986 in all diagnostic, preventative or therapeutic uses. Amgen also granted us a non-exclusive, worldwide license, with the right to sublicense (subject to certain conditions), under Amgens rights in specified know-how relating to AMG 986, including research reports, clinical data, manufacturing processes, regulatory documents and other information pertaining to AMG 986, to research, develop and commercialize AMG 986 in all diagnostic, preventative or therapeutic uses. Although we maintain the exclusive rights described above with respect to the specified patents, Amgen retains research-only rights solely for Amgens internal research. All right, title and interest to inventions conceived or created by a party under the Amgen Agreement that are exclusively related to AMG 986 will be owned exclusively by us, regardless of inventorship.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the Amgen Agreement, we are obligated to use commercially reasonable efforts to develop and commercialize at least one licensed product in each of the United States, European Union, Japan and the rest of the world (ROW). If we fail to materially develop or commercialize such products for twelve months in the United States, European Union, Japan or ROW, and such failure is not due to reasons out of our control, in addition to other available remedies, Amgen may terminate our agreement with respect to the failing region, subject to a cure period. </w:t>
      </w:r>
    </w:p>
    <w:p>
      <w:pPr>
        <w:pStyle w:val="TextBody"/>
        <w:bidi w:val="0"/>
        <w:spacing w:before="240" w:after="0"/>
        <w:jc w:val="both"/>
        <w:rPr>
          <w:rFonts w:ascii="Times New Roman" w:hAnsi="Times New Roman"/>
          <w:sz w:val="20"/>
        </w:rPr>
      </w:pPr>
      <w:r>
        <w:rPr>
          <w:rFonts w:ascii="Times New Roman" w:hAnsi="Times New Roman"/>
          <w:sz w:val="20"/>
        </w:rPr>
        <w:t xml:space="preserve">In consideration for the rights granted under the Amgen Agreement, we paid an upfront fee of $1.0 million and issued Amgen 846,152 shares of our Series C redeemable convertible preferred stock, which will automatically convert into 189,609 shares of our common stock in connection with the completion of this offering. Additionally, we may also be required to pay up to an additional $120.0 million in the aggregate for future development, regulatory and commercial milestone payments, as well as tiered royalties at percentages ranging in the low- to upper-single digits on future net sales by us and our sublicensees of licensed products, if any. Royalties are paid on a product-by-product basis and commence with respect to a particular country upon the first commercial sale in such country and terminate in such country on the latest to occur of the date on which such product is no longer covered by a valid claim in such country, the loss of regulatory exclusivity for such product in such country, and for a specified time period after the first commercial sale of such product in such country. Such royalties may be decreased if, among other reasons, we are required to pay a third party for rights to intellectual property for the exploitation of a licensed product in a given country, but in no event be reduced in aggregate by a specified percentage. </w:t>
      </w:r>
    </w:p>
    <w:p>
      <w:pPr>
        <w:pStyle w:val="TextBody"/>
        <w:bidi w:val="0"/>
        <w:spacing w:before="240" w:after="0"/>
        <w:jc w:val="both"/>
        <w:rPr>
          <w:rFonts w:ascii="Times New Roman" w:hAnsi="Times New Roman"/>
          <w:sz w:val="20"/>
        </w:rPr>
      </w:pPr>
      <w:r>
        <w:rPr>
          <w:rFonts w:ascii="Times New Roman" w:hAnsi="Times New Roman"/>
          <w:sz w:val="20"/>
        </w:rPr>
        <w:t xml:space="preserve">The term of the Amgen Agreement will end on a licensed product-by-licensed product basis and country-by-country basis upon the expiration of our obligation to pay royalties to Amgen with respect to such licensed products in such countries. We may terminate the Amgen Agreement in its entirety for convenience upon a specified written notice period. Amgen has the right to terminate the agreement if we, or one of our affiliates or sublicensees, challenges the patentability, enforceability or validity of a licensed patent, subject to a cure period. Additionally, either party will be able to terminate the Amgen Agreement for the other partys uncured material breach or bankruptcy.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Transfer Agreement with Eli Lilly and Company </w:t>
      </w:r>
    </w:p>
    <w:p>
      <w:pPr>
        <w:pStyle w:val="TextBody"/>
        <w:bidi w:val="0"/>
        <w:spacing w:before="120" w:after="0"/>
        <w:jc w:val="both"/>
        <w:rPr>
          <w:rFonts w:ascii="Times New Roman" w:hAnsi="Times New Roman"/>
          <w:sz w:val="20"/>
        </w:rPr>
      </w:pPr>
      <w:r>
        <w:rPr>
          <w:rFonts w:ascii="Times New Roman" w:hAnsi="Times New Roman"/>
          <w:sz w:val="20"/>
        </w:rPr>
        <w:t xml:space="preserve">On October 25, 2023, we entered into a material transfer agreement (the Lilly Agreement) with Lilly. Under the Lilly Agreement, Lilly has agreed to manufacture and supply us with a certain quantity (which may be increased by mutual consent) of tirzepatide so we can sponsor a clinical trial in which azelaprag and tirzepatide are co-administered concomitantly or sequentially. Such trial is expected to be conducted pursuant to a protocol developed in accordance with a development services agreement between us and Lilly dated as of October 25, 2023. The Lilly Agreement is a non-exclusive agreement, with specific carveouts as set forth in the Lilly Agreement allowing Lilly limited exclusive rights if we desire to conduct any additional clinical trials utilizing certain specified compounds, as outlined in the Lilly Agreement. </w:t>
      </w:r>
    </w:p>
    <w:p>
      <w:pPr>
        <w:pStyle w:val="TextBody"/>
        <w:bidi w:val="0"/>
        <w:spacing w:before="240" w:after="0"/>
        <w:jc w:val="both"/>
        <w:rPr>
          <w:rFonts w:ascii="Times New Roman" w:hAnsi="Times New Roman"/>
          <w:sz w:val="20"/>
        </w:rPr>
      </w:pPr>
      <w:r>
        <w:rPr>
          <w:rFonts w:ascii="Times New Roman" w:hAnsi="Times New Roman"/>
          <w:sz w:val="20"/>
        </w:rPr>
        <w:t xml:space="preserve">Additionally, Lilly has an exclusive right of first negotiation for a limited period after we complete or terminate our clinical trial, or, if earlier, after we provide notice of our intent to initiate certain significant corporate or licensing transaction processes (a Significant Transaction). If Lilly declines, or fails to pursue, the right of first negotiation or if the parties fail to mutually agree upon a non-binding term sheet during such period, then we shall thereafter have the right to (i) commence discussions with any other third party regarding a Significant Transaction and (ii) enter into an exclusive arrangement or execute a binding agreement with any other third party regarding a Significant Transaction. In addition, prior to completing our planned Phase 2 clinical trial, other Significant Transactions outlined in the Lilly Agreement require us to grant Lilly a non-exclusive right of negotiation for a limited period of time. </w:t>
      </w:r>
    </w:p>
    <w:p>
      <w:pPr>
        <w:pStyle w:val="TextBody"/>
        <w:bidi w:val="0"/>
        <w:spacing w:before="240" w:after="0"/>
        <w:jc w:val="both"/>
        <w:rPr>
          <w:rFonts w:ascii="Times New Roman" w:hAnsi="Times New Roman"/>
          <w:sz w:val="20"/>
        </w:rPr>
      </w:pPr>
      <w:r>
        <w:rPr>
          <w:rFonts w:ascii="Times New Roman" w:hAnsi="Times New Roman"/>
          <w:sz w:val="20"/>
        </w:rPr>
        <w:t xml:space="preserve">We are responsible for the conduct of the planned Phase 2 clinical trial in accordance with all applicable laws and regulations, will hold the IND and will own the clinical data. In exchange, we must provide Lilly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information relating to the Phase 2 clinical trial (including, without limitation, all clinical data and communications with regulatory authorities) and grant Lilly certain rights with respect to the clinical data derived from the Phase 2 clinical trial. </w:t>
      </w:r>
    </w:p>
    <w:p>
      <w:pPr>
        <w:pStyle w:val="TextBody"/>
        <w:bidi w:val="0"/>
        <w:spacing w:before="240" w:after="0"/>
        <w:jc w:val="both"/>
        <w:rPr>
          <w:rFonts w:ascii="Times New Roman" w:hAnsi="Times New Roman"/>
          <w:sz w:val="20"/>
        </w:rPr>
      </w:pPr>
      <w:r>
        <w:rPr>
          <w:rFonts w:ascii="Times New Roman" w:hAnsi="Times New Roman"/>
          <w:sz w:val="20"/>
        </w:rPr>
        <w:t xml:space="preserve">Inventions generated under the Phase 2 clinical trial or conceived through the use of the tirzepatide or Lillys confidential information (Inventions) and relating to or covering the combined use of azelaprag and tirzepatide are jointly owned by us and Lilly. Inventions primarily relating to azelaprag and not materially to tirzepatide are our exclusive property. Inventions primarily relating to tirzepatide and not materially to azelaprag are the exclusive property of Lilly. Pursuant to the terms of the Lilly Agreement, each party has granted the other party a non-exclusive license under its intellectual property which covers an invention and claims the combination of azelaprag and tirzepatide in order to practice the combination of azelaprag and tirzepatide for all purposes. Neither party has granted the other any rights to their respective background intellectual property that does not claim the combination of azelaprag and tirzepatide except as necessary to conduct the combination trial. </w:t>
      </w:r>
    </w:p>
    <w:p>
      <w:pPr>
        <w:pStyle w:val="TextBody"/>
        <w:bidi w:val="0"/>
        <w:spacing w:before="240" w:after="0"/>
        <w:jc w:val="both"/>
        <w:rPr>
          <w:rFonts w:ascii="Times New Roman" w:hAnsi="Times New Roman"/>
          <w:sz w:val="20"/>
        </w:rPr>
      </w:pPr>
      <w:r>
        <w:rPr>
          <w:rFonts w:ascii="Times New Roman" w:hAnsi="Times New Roman"/>
          <w:sz w:val="20"/>
        </w:rPr>
        <w:t xml:space="preserve">The term of the Lilly Agreement will expire four years after the effective date. However, if our development service agreement with Lilly terminates for any reason, the Lilly Agreement will automatically terminate simultaneously. Additionally, either party may terminate the Lilly Agreement for any uncured material breach that continues for a certain period after notice and reasonable opportunity to cure. Lilly can terminate with prior notice in the event of a Significant Transaction if certain conditions pursuant to the Lilly Agreement are met. In the event that the Lilly Agreement is terminated, we have the right to continue with the conduct of the planned Phase 2 clinical trial.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both"/>
        <w:rPr>
          <w:rFonts w:ascii="Times New Roman" w:hAnsi="Times New Roman"/>
          <w:sz w:val="20"/>
        </w:rPr>
      </w:pPr>
      <w:r>
        <w:rPr>
          <w:rFonts w:ascii="Times New Roman" w:hAnsi="Times New Roman"/>
          <w:sz w:val="20"/>
        </w:rPr>
        <w:t xml:space="preserve">We oversee and manage CDMOs to support development and manufacture of product candidates for our clinical trials. We expect our strategy to use CDMOs will enable us to maintain a more efficient infrastructure, avoiding the necessity to acquire our own manufacturing facility and equipment, while simultaneously enabling us to focus our expertise on the clinical development and the potential future commercialization of our products. Currently, we rely on and have agreements with multiple third-party CDMOs to manufacture and supply active pharmaceutical ingredients (APIs) and drug products (DPs) for our clinical trials. To prepare for advancement of our drug candidates to Phase 3 clinical trials, we anticipate the need to enter into a manufacture and supply agreement with, and transfer API and DP manufacture to, one or more additional third-party CDMOs with whom we would also likely enter into commercial supply agreements prior to any potential regulatory approval if any of our drug candidates are commercialized. The DP for our drug candidates is manufactured via conventional pharmaceutical processing procedures, employing commonly used and commercially available excipients and packaging materials. The procedure and equipment employed for manufacture and analysis are consistent with standard organic synthesis or pharmaceutical production, and are transferable to a range of manufacturing facilities, if needed.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both"/>
        <w:rPr>
          <w:rFonts w:ascii="Times New Roman" w:hAnsi="Times New Roman"/>
          <w:sz w:val="20"/>
        </w:rPr>
      </w:pPr>
      <w:r>
        <w:rPr>
          <w:rFonts w:ascii="Times New Roman" w:hAnsi="Times New Roman"/>
          <w:sz w:val="20"/>
        </w:rPr>
        <w:t xml:space="preserve">The biotechnology and pharmaceutical industries are characterized by rapid evolution of technologies, fierce competition and strong defense of intellectual property. While we believe that our platform, knowledge, experience and scientific resources provide us with competitive advantages, we face competition from major pharmaceutical and biotechnology companies, academic institutions, governmental agencies and public and private research institutions, among others. </w:t>
      </w:r>
    </w:p>
    <w:p>
      <w:pPr>
        <w:pStyle w:val="TextBody"/>
        <w:bidi w:val="0"/>
        <w:spacing w:before="240" w:after="0"/>
        <w:jc w:val="both"/>
        <w:rPr>
          <w:rFonts w:ascii="Times New Roman" w:hAnsi="Times New Roman"/>
          <w:sz w:val="20"/>
        </w:rPr>
      </w:pPr>
      <w:r>
        <w:rPr>
          <w:rFonts w:ascii="Times New Roman" w:hAnsi="Times New Roman"/>
          <w:sz w:val="20"/>
        </w:rPr>
        <w:t xml:space="preserve">If any of our product candidates are approved for the indications for which we expect to conduct clinical trials, they will compete with existing therapies and currently marketed drugs, as well as any drugs products currently or in the future in development that are ultimately approved, that are potential treatments for metabolic diseases, such as obesity. It is also possible that we will face competition from other pharmaceutical approaches as well as other types of therapies. The key competitive factors affecting the success of all our programs, if approved, are likely to be their efficacy, safety, convenience, price, level of generic competition, and availability of reimbursement.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competitors for azelaprag include Structure Therapeutics, Bristol Myers Squibb, APIE Therapeutics and Sanofi, S.A. who have or had small molecule APJ agonists in preclinical or clinical development. With respect to BGE-100, direct competition is currently limited as there are no approved NLRP3 inhibitors or other inflammasome-targeted therapeutics for neuroinflammation. However, we are aware of NLRP3 inhibitor pipeline programs with reported CNS activity, which is a key feature of BGE-100, including those from NodThera, Ventyx Biosciences, Roche and Ventus Therapeutics. </w:t>
      </w:r>
    </w:p>
    <w:p>
      <w:pPr>
        <w:pStyle w:val="TextBody"/>
        <w:bidi w:val="0"/>
        <w:spacing w:before="240" w:after="0"/>
        <w:jc w:val="both"/>
        <w:rPr>
          <w:rFonts w:ascii="Times New Roman" w:hAnsi="Times New Roman"/>
          <w:sz w:val="20"/>
        </w:rPr>
      </w:pPr>
      <w:r>
        <w:rPr>
          <w:rFonts w:ascii="Times New Roman" w:hAnsi="Times New Roman"/>
          <w:sz w:val="20"/>
        </w:rPr>
        <w:t xml:space="preserve">We anticipate that we will continue to face increasing competition as new therapies and combinations thereof, and related data emerge. Competitors, independently or through collaboration, are developing products that potentially directly compete with our current or future product candidates and which may (i) be a longer lasting or a more efficacious treatment, or better tolerated or (ii) receive FDA or other applicable regulatory approval more rapidly than our current or future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Intellectual property is of vital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 </w:t>
      </w:r>
    </w:p>
    <w:p>
      <w:pPr>
        <w:pStyle w:val="TextBody"/>
        <w:bidi w:val="0"/>
        <w:spacing w:before="240" w:after="0"/>
        <w:jc w:val="both"/>
        <w:rPr>
          <w:rFonts w:ascii="Times New Roman" w:hAnsi="Times New Roman"/>
          <w:sz w:val="20"/>
        </w:rPr>
      </w:pPr>
      <w:r>
        <w:rPr>
          <w:rFonts w:ascii="Times New Roman" w:hAnsi="Times New Roman"/>
          <w:sz w:val="20"/>
        </w:rPr>
        <w:t xml:space="preserve">We have sought patent protection in the United States and internationally related to our novel drugs, including compositions of matter directed both specifically and generically to our leads and backup compounds and corresponding methods of use directed to various clinical indications of the same, and other inventions and improvements that are central to our research and development efforts. In addition, we intend to seek additional patent protection which may enhance commercial success to the extent warranted by future developments. </w:t>
      </w:r>
    </w:p>
    <w:p>
      <w:pPr>
        <w:pStyle w:val="TextBody"/>
        <w:bidi w:val="0"/>
        <w:spacing w:before="240" w:after="0"/>
        <w:jc w:val="both"/>
        <w:rPr>
          <w:rFonts w:ascii="Times New Roman" w:hAnsi="Times New Roman"/>
          <w:sz w:val="20"/>
        </w:rPr>
      </w:pPr>
      <w:r>
        <w:rPr>
          <w:rFonts w:ascii="Times New Roman" w:hAnsi="Times New Roman"/>
          <w:sz w:val="20"/>
        </w:rPr>
        <w:t xml:space="preserve">As of June 30, 2024, our intellectual property portfolio contained owned and in-licensed cases and contains several issued U.S. and foreign national patents, and multiple pending U.S., Patent Cooperation Treaty (PCT) and foreign national applications. These patent families are expected to expire between 2036 and 2045, excluding patent term adjustments, extensions or terminal disclaimers, and assuming payment of all appropriate maintenance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Azelaprag Program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2024, we had exclusively in-licensed 10 patent families from Amgen Inc. relating to apelin receptor agonists and related methods. One patent family specifically and generically claims azelaprag, and 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patent families are directed to various structural analogs. These 10 patent families collectively include 20 issued U.S. patents, no pending U.S. patent applications, 99 issued foreign national patents, including patents in Australia, Brazil, Canada, China, Europe (with validation in 40 European states), India, Japan, Korea Mexico, Singapore, Taiwan and 23 other jurisdictions, and nine pending foreign national applications, including applications in Argentina, Egypt, Europe, Gulf Cooperation Council (GCC), Libya and Thailand. With respect to the 1 patent family that specifically and generically claims azelaprag, there are 10 issued U.S. patents, 77 issued foreign patents, and five pending foreign applications. U.S. Patent No. 9,573,936, U.S. Patent No. 9,868,721 and U.S. Patent No. 10,221,162 generically and specifically claim the drug substance azelaprag and each expires in 2036, without taking into account patent term adjustments, terminal disclaimers, or potential future extensions, and assuming payment of all appropriate maintenance fees. Foreign patents in this family expire and pending foreign applications are expected to expire in 2036, without taking into account potential future supplementary protection certificates and assuming payment of all appropriate annuity fees. The nine patent families that are directed to various structural analogs all expire between 2037 and 2039, without taking into account patent term adjustments, terminal disclaimers, or potential future extensions and assuming payment of all appropriate maintenance fees for the U.S. patents and without taking into account potential future supplementary protection certificates and assuming payment of all appropriate annuities for foreign patents in these families. </w:t>
      </w:r>
    </w:p>
    <w:p>
      <w:pPr>
        <w:pStyle w:val="TextBody"/>
        <w:bidi w:val="0"/>
        <w:spacing w:before="240" w:after="0"/>
        <w:jc w:val="both"/>
        <w:rPr>
          <w:rFonts w:ascii="Times New Roman" w:hAnsi="Times New Roman"/>
          <w:sz w:val="20"/>
        </w:rPr>
      </w:pPr>
      <w:r>
        <w:rPr>
          <w:rFonts w:ascii="Times New Roman" w:hAnsi="Times New Roman"/>
          <w:sz w:val="20"/>
        </w:rPr>
        <w:t xml:space="preserve">As of June 30, 2024, we had also in-licensed one patent family from INSERM relating to use of the class of apelin receptor agonists for treating sarcopenia. This patent family includes one U.S. Patent, and foreign national patents in Japan and Europe (with validation in 5 European states), which patents are expected to expire in 2032, without taking into account any patent term adjustments, or extensions, and assuming payment of all appropriate maintenance fees. </w:t>
      </w:r>
    </w:p>
    <w:p>
      <w:pPr>
        <w:pStyle w:val="TextBody"/>
        <w:bidi w:val="0"/>
        <w:spacing w:before="240" w:after="0"/>
        <w:jc w:val="both"/>
        <w:rPr>
          <w:rFonts w:ascii="Times New Roman" w:hAnsi="Times New Roman"/>
          <w:sz w:val="20"/>
        </w:rPr>
      </w:pPr>
      <w:r>
        <w:rPr>
          <w:rFonts w:ascii="Times New Roman" w:hAnsi="Times New Roman"/>
          <w:sz w:val="20"/>
        </w:rPr>
        <w:t xml:space="preserve">As of June 30, 2024, we owned seven patent families relating to methods of using azelaprag, including therapeutic uses for frailty, muscle atrophy, or obesity. These patent families include 14 pending U.S. provisional applications, seven pending U.S. and PCT non-provisional applications, and 14 pending foreign national applications, including applications in Australia, Brazil, Canada, China, Europe, Israel, Japan, Korea, Mexico, New Zealand, Singapore and Taiwan. Any patents that may issue from our pending patent applications or claim priority to pending provisional applications are expected to expire between 2042 and 2045, without taking into account any patent term adjustments, extensions or terminal disclaimers, and assuming payment of all appropriate maintenance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NLRP3 Inhibitor Program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2024, we owned six patent families relating to novel NLRP3 (nucleotide binding oligomerization domain-like receptor family pyrin domain-containing 3) inhibitors and related methods. One of these patent families is co-owned with HitGen, Inc. The six patent families include 3 issued U.S. patents (one co-owned with HitGen, that is under our exclusive control, and two solely-owned by BioAge), four pending U.S. provisional applications, eight pending U.S. and PCT non-provisional applications, and 28 pending foreign national applications, including applications in 24 jurisdictions, including Argentina, Australia, Canada, China, Europe, Eurasia, Japan, Korea and Taiwan. Patent term is based on the effective filing date of each family. Of the 3 issued patents, two will expire on March 23, 2042, and one will expire on January 27, 2043, without taking into account any patent term adjustments, extensions or terminal disclaimers, and assuming payment of all appropriate maintenance fees. Future patents that result from pending applications in these families are projected to expire on one of March 23, 2042; January 27, 2043; June 9, 2044; September 12, 2044; October 4, 2044; or March 26, 2045, without taking into account any patent term adjustments, extensions, or terminal disclaimers, and assuming payment of all appropriate maintenance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Platform Technology and Discovery Program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2024, we owned 3 patent families relating to platform technology for identifying pathways for healthy aging and druggable targets, and 1 patent family relating to a class of therapeutic fusion proteins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bind endogenous RAGE ligands. These patent families include 4 issued U. S. patents, one issued Japanese patent, 3 pending U.S. applications, and 3 pending foreign national applications, including applications in Canada, and Europe. U.S. Patent No. 11,881,311 expires September 23, 2041, inclusive of patent term adjustment, and without taking into account any potential future extension. U.S. Patent No. 11,445,981 expires August 11, 2039, inclusive of patent term adjustment, and without taking into account any potential future extension. U.S. Patent No. 10,913,784 expires September 13, 2039, without taking into account any potential future extension. U.S. Patent No. 11,535,661, expires September 13, 2039, inclusive of a terminal disclaimer, and without taking into account any potential future extension. Japanese Patent No. 7,307,178 B2 expires in September 2039, without taking into account any potential future extension. The 3 pending U.S. applications are expected to expire respectively in February 2038, July 2038, and October 2038, without taking into account any potential patent term adjustment, terminal disclaimer, or future extension. The 3 pending foreign national applications are expected to expire in October 2038 or September 2039, without taking into account any potential future supplementary protection certificate or extension. </w:t>
      </w:r>
    </w:p>
    <w:p>
      <w:pPr>
        <w:pStyle w:val="TextBody"/>
        <w:bidi w:val="0"/>
        <w:spacing w:before="240" w:after="0"/>
        <w:jc w:val="both"/>
        <w:rPr>
          <w:rFonts w:ascii="Times New Roman" w:hAnsi="Times New Roman"/>
          <w:sz w:val="20"/>
        </w:rPr>
      </w:pPr>
      <w:r>
        <w:rPr>
          <w:rFonts w:ascii="Times New Roman" w:hAnsi="Times New Roman"/>
          <w:sz w:val="20"/>
        </w:rPr>
        <w:t xml:space="preserve">We expect to file additional patent applications in support of current and future clinical candidates as well as new platform and core technologies.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success will depend in part on obtaining and maintaining patent protection on our current and future product candidates and their related methods of use, as well as successfully defending any such patents against third-party challenges and operating without infringing on the proprietary rights of others. Our ability to stop third parties from making, using, selling, offering to sell or importing our product candidates will depend, in part, on the extent to which we have rights under valid and enforceable patents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intellectual property, see Risk FactorsRisks Related to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(USPTO) in examining and granting a patent, or may be shortened if a patent is terminally disclaimed over an earlier filed patent. In the United States, the term of a patent that covers a drug approved by the FDA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intellectual property, see Risk FactorsRisks Related to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In most instances, we have submitted and expect to submit patent applications directly to the USPTO as provisional patent applications. Corresponding non-provisional patent applications must be filed not later than 12 months after the provisional application filing date. While we intend to timely file non-provisional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applications relating to our provisional patent applications, we cannot predict whether any such patent applications will result in the issuance of patents that provide us with any competitive advantage. </w:t>
      </w:r>
    </w:p>
    <w:p>
      <w:pPr>
        <w:pStyle w:val="TextBody"/>
        <w:bidi w:val="0"/>
        <w:spacing w:before="240" w:after="0"/>
        <w:jc w:val="both"/>
        <w:rPr>
          <w:rFonts w:ascii="Times New Roman" w:hAnsi="Times New Roman"/>
          <w:sz w:val="20"/>
        </w:rPr>
      </w:pPr>
      <w:r>
        <w:rPr>
          <w:rFonts w:ascii="Times New Roman" w:hAnsi="Times New Roman"/>
          <w:sz w:val="20"/>
        </w:rPr>
        <w:t xml:space="preserve">We file U.S. non-provisional applications, PCT applications and non-PCT foreign national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Before the end of the period of approximately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 </w:t>
      </w:r>
    </w:p>
    <w:p>
      <w:pPr>
        <w:pStyle w:val="TextBody"/>
        <w:bidi w:val="0"/>
        <w:spacing w:before="240" w:after="0"/>
        <w:jc w:val="both"/>
        <w:rPr>
          <w:rFonts w:ascii="Times New Roman" w:hAnsi="Times New Roman"/>
          <w:sz w:val="20"/>
        </w:rPr>
      </w:pPr>
      <w:r>
        <w:rPr>
          <w:rFonts w:ascii="Times New Roman" w:hAnsi="Times New Roman"/>
          <w:sz w:val="20"/>
        </w:rPr>
        <w:t xml:space="preserve">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 </w:t>
      </w:r>
    </w:p>
    <w:p>
      <w:pPr>
        <w:pStyle w:val="TextBody"/>
        <w:bidi w:val="0"/>
        <w:spacing w:before="240" w:after="0"/>
        <w:jc w:val="both"/>
        <w:rPr>
          <w:rFonts w:ascii="Times New Roman" w:hAnsi="Times New Roman"/>
          <w:sz w:val="20"/>
        </w:rPr>
      </w:pPr>
      <w:r>
        <w:rPr>
          <w:rFonts w:ascii="Times New Roman" w:hAnsi="Times New Roman"/>
          <w:sz w:val="20"/>
        </w:rPr>
        <w:t xml:space="preserve">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or rights in, an invention. For more information, see Risk FactorsRisks Related to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When available to expand market exclusivity, our strategy is to obtain or license additional intellectual property related to current or contemplated development platforms, core elements of technology and/or clinical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both"/>
        <w:rPr>
          <w:rFonts w:ascii="Times New Roman" w:hAnsi="Times New Roman"/>
          <w:sz w:val="20"/>
        </w:rPr>
      </w:pPr>
      <w:r>
        <w:rPr>
          <w:rFonts w:ascii="Times New Roman" w:hAnsi="Times New Roman"/>
          <w:sz w:val="20"/>
        </w:rPr>
        <w:t xml:space="preserve">Pharmaceutical products are subject to extensive regulation by government authorities in the United States, at the federal, state and local level, and in other countries and jurisdictions.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Approval Process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pharmaceutical products are subject to extensive regulation by the U. S. Food and Drug Administration (the FDA). The Federal Food, Drug, and Cosmetic Act (the FD&amp;C Act) and other federal and state statutes and regulations govern, among other things, the research, development, testing, manufacture, quality control,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a clinical hold, FDA refusal to approve pending new drug applications (NDAs), warning or untitled letters, product recalls, product seizures, total or partial suspension of production or distribution, injunctions, fines, civil penalties and criminal prosecution. </w:t>
      </w:r>
    </w:p>
    <w:p>
      <w:pPr>
        <w:pStyle w:val="TextBody"/>
        <w:bidi w:val="0"/>
        <w:spacing w:before="240" w:after="0"/>
        <w:jc w:val="both"/>
        <w:rPr>
          <w:rFonts w:ascii="Times New Roman" w:hAnsi="Times New Roman"/>
          <w:sz w:val="20"/>
        </w:rPr>
      </w:pPr>
      <w:r>
        <w:rPr>
          <w:rFonts w:ascii="Times New Roman" w:hAnsi="Times New Roman"/>
          <w:sz w:val="20"/>
        </w:rPr>
        <w:t xml:space="preserve">Pharmaceutical product development for a new product or certain changes to an approved product in the U.S.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 </w:t>
      </w:r>
    </w:p>
    <w:p>
      <w:pPr>
        <w:pStyle w:val="TextBody"/>
        <w:bidi w:val="0"/>
        <w:spacing w:before="240" w:after="0"/>
        <w:jc w:val="both"/>
        <w:rPr>
          <w:rFonts w:ascii="Times New Roman" w:hAnsi="Times New Roman"/>
          <w:sz w:val="20"/>
        </w:rPr>
      </w:pPr>
      <w:r>
        <w:rPr>
          <w:rFonts w:ascii="Times New Roman" w:hAnsi="Times New Roman"/>
          <w:sz w:val="20"/>
        </w:rPr>
        <w:t xml:space="preserve">Preclinical tests include laboratory evaluation of product chemistry, formulation and toxicity, as well as animal studies to assess the characteristics and potential safety and efficacy of the product, as well as in some cases to establish a rationale for therapeutic use. The conduct of the preclinical tests must comply with federal regulations and requirements, including good laboratory practices for safety/toxicology studies. The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An IND automatically becomes effective and the proposed clinical trial may commence 30 days after receipt of the IND by the FDA, unless before that time the FDA raises concerns or questions related to one or more proposed clinical trials and places the trial on clinical hold. In such a case, the IND sponsor must resolve the issues to the FDAs satisfaction before the clinical trial can begin. As a result, submission of an IND may not result in the FDA allowing clinical trials to commence. </w:t>
      </w:r>
    </w:p>
    <w:p>
      <w:pPr>
        <w:pStyle w:val="TextBody"/>
        <w:bidi w:val="0"/>
        <w:spacing w:before="240" w:after="0"/>
        <w:jc w:val="both"/>
        <w:rPr>
          <w:rFonts w:ascii="Times New Roman" w:hAnsi="Times New Roman"/>
          <w:sz w:val="20"/>
        </w:rPr>
      </w:pPr>
      <w:r>
        <w:rPr>
          <w:rFonts w:ascii="Times New Roman" w:hAnsi="Times New Roman"/>
          <w:sz w:val="20"/>
        </w:rPr>
        <w:t xml:space="preserve">Clinical trials involve the administration of the investigational new drug to healthy volunteers or patients under the supervision of a qualified investigator. Clinical trials must be conducted: (i) in compliance with federal regulations; (ii) in compliance with good clinical practices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 </w:t>
      </w:r>
    </w:p>
    <w:p>
      <w:pPr>
        <w:pStyle w:val="TextBody"/>
        <w:bidi w:val="0"/>
        <w:spacing w:before="240" w:after="0"/>
        <w:jc w:val="both"/>
        <w:rPr>
          <w:rFonts w:ascii="Times New Roman" w:hAnsi="Times New Roman"/>
          <w:sz w:val="20"/>
        </w:rPr>
      </w:pPr>
      <w:r>
        <w:rPr>
          <w:rFonts w:ascii="Times New Roman" w:hAnsi="Times New Roman"/>
          <w:sz w:val="20"/>
        </w:rPr>
        <w:t xml:space="preserve">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(IRB), and ethics committee for approval. An IRB may also require the clinical trial at the site to be halted, either temporarily or permanently, for failure to comply with the IRBs requirements, or may impose other conditions. </w:t>
      </w:r>
    </w:p>
    <w:p>
      <w:pPr>
        <w:pStyle w:val="TextBody"/>
        <w:bidi w:val="0"/>
        <w:spacing w:before="240" w:after="0"/>
        <w:jc w:val="both"/>
        <w:rPr>
          <w:rFonts w:ascii="Times New Roman" w:hAnsi="Times New Roman"/>
          <w:sz w:val="20"/>
        </w:rPr>
      </w:pPr>
      <w:r>
        <w:rPr>
          <w:rFonts w:ascii="Times New Roman" w:hAnsi="Times New Roman"/>
          <w:sz w:val="20"/>
        </w:rPr>
        <w:t xml:space="preserve">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confirmatory evidence. </w:t>
      </w:r>
    </w:p>
    <w:p>
      <w:pPr>
        <w:pStyle w:val="TextBody"/>
        <w:bidi w:val="0"/>
        <w:spacing w:before="240" w:after="0"/>
        <w:jc w:val="both"/>
        <w:rPr>
          <w:rFonts w:ascii="Times New Roman" w:hAnsi="Times New Roman"/>
          <w:sz w:val="20"/>
        </w:rPr>
      </w:pPr>
      <w:r>
        <w:rPr>
          <w:rFonts w:ascii="Times New Roman" w:hAnsi="Times New Roman"/>
          <w:sz w:val="20"/>
        </w:rPr>
        <w:t xml:space="preserve">The manufacturer of an investigational new drug in a Phase 2 or 3 clinical trial for a serious or life-threatening disease is required to make available, such as by posting on its website, its policy on evaluating and responding to requests for expanded access. </w:t>
      </w:r>
    </w:p>
    <w:p>
      <w:pPr>
        <w:pStyle w:val="TextBody"/>
        <w:bidi w:val="0"/>
        <w:spacing w:before="240" w:after="0"/>
        <w:jc w:val="both"/>
        <w:rPr>
          <w:rFonts w:ascii="Times New Roman" w:hAnsi="Times New Roman"/>
          <w:sz w:val="20"/>
        </w:rPr>
      </w:pPr>
      <w:r>
        <w:rPr>
          <w:rFonts w:ascii="Times New Roman" w:hAnsi="Times New Roman"/>
          <w:sz w:val="20"/>
        </w:rPr>
        <w:t xml:space="preserve">After completion of the required clinical testing, an NDA is prepared and submitted to the FDA. FDA approval of the NDA is required before marketing of the product may begin in the U.S. The NDA must include the results of all preclinical, clinical and other testing and a compilation of data relating to the products pharmacology, chemistry, manufacture and controls, as well as any proposed labeling. The cost of preparing and submitting an NDA is substantial and includes an application user fee (unless a waiver applies) as well as an annual program fee, and the fees are typically increased annually.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FDA has 60 days from its receipt of an NDA to determine whether the application will be filed based on the agencys threshold determination that it is sufficiently complete to permit substantive review. Once the submission is filed, the FDA begins an in-depth review. The FDA has agreed to certain performance goals in the review of NDAs to encourage timeliness. Applications for new molecular entity (NME) standard review drug products are reviewed within twelve months of the date of submission of the NDA to the FDA; applications for priority review NMEs are reviewed within eight months of the date of submission of the NDA to the FDA.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 </w:t>
      </w:r>
    </w:p>
    <w:p>
      <w:pPr>
        <w:pStyle w:val="TextBody"/>
        <w:bidi w:val="0"/>
        <w:spacing w:before="240" w:after="0"/>
        <w:jc w:val="both"/>
        <w:rPr>
          <w:rFonts w:ascii="Times New Roman" w:hAnsi="Times New Roman"/>
          <w:sz w:val="20"/>
        </w:rPr>
      </w:pPr>
      <w:r>
        <w:rPr>
          <w:rFonts w:ascii="Times New Roman" w:hAnsi="Times New Roman"/>
          <w:sz w:val="20"/>
        </w:rPr>
        <w:t xml:space="preserve">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w:t>
      </w:r>
    </w:p>
    <w:p>
      <w:pPr>
        <w:pStyle w:val="TextBody"/>
        <w:bidi w:val="0"/>
        <w:spacing w:before="240" w:after="0"/>
        <w:jc w:val="both"/>
        <w:rPr>
          <w:rFonts w:ascii="Times New Roman" w:hAnsi="Times New Roman"/>
          <w:sz w:val="20"/>
        </w:rPr>
      </w:pPr>
      <w:r>
        <w:rPr>
          <w:rFonts w:ascii="Times New Roman" w:hAnsi="Times New Roman"/>
          <w:sz w:val="20"/>
        </w:rPr>
        <w:t xml:space="preserve">Before approving an NDA, the FDA will typically inspect one or more clinical sites to assure compliance with GCP. Additionally, the FDA will inspect the facility or the facilities at which the drug is manufactured. The FDA will not approve the product unless compliance with current good manufacturing practices (cGMPs) is satisfactory and the NDA contains data that provide substantial evidence that the drug is safe and effective in the indication studied. </w:t>
      </w:r>
    </w:p>
    <w:p>
      <w:pPr>
        <w:pStyle w:val="TextBody"/>
        <w:bidi w:val="0"/>
        <w:spacing w:before="240" w:after="0"/>
        <w:jc w:val="both"/>
        <w:rPr>
          <w:rFonts w:ascii="Times New Roman" w:hAnsi="Times New Roman"/>
          <w:sz w:val="20"/>
        </w:rPr>
      </w:pPr>
      <w:r>
        <w:rPr>
          <w:rFonts w:ascii="Times New Roman" w:hAnsi="Times New Roman"/>
          <w:sz w:val="20"/>
        </w:rPr>
        <w:t xml:space="preserve">After the FDA evaluates the NDA and the manufacturing facilities, it issues either an approval letter or a complete response letter (CRL). A CRL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 </w:t>
      </w:r>
    </w:p>
    <w:p>
      <w:pPr>
        <w:pStyle w:val="TextBody"/>
        <w:bidi w:val="0"/>
        <w:spacing w:before="240" w:after="0"/>
        <w:jc w:val="both"/>
        <w:rPr>
          <w:rFonts w:ascii="Times New Roman" w:hAnsi="Times New Roman"/>
          <w:sz w:val="20"/>
        </w:rPr>
      </w:pPr>
      <w:r>
        <w:rPr>
          <w:rFonts w:ascii="Times New Roman" w:hAnsi="Times New Roman"/>
          <w:sz w:val="20"/>
        </w:rPr>
        <w:t xml:space="preserve">An approval letter authorizes commercial marketing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w:t>
      </w:r>
    </w:p>
    <w:p>
      <w:pPr>
        <w:pStyle w:val="TextBody"/>
        <w:bidi w:val="0"/>
        <w:spacing w:before="240" w:after="0"/>
        <w:jc w:val="both"/>
        <w:rPr>
          <w:rFonts w:ascii="Times New Roman" w:hAnsi="Times New Roman"/>
          <w:sz w:val="20"/>
        </w:rPr>
      </w:pPr>
      <w:r>
        <w:rPr>
          <w:rFonts w:ascii="Times New Roman" w:hAnsi="Times New Roman"/>
          <w:sz w:val="20"/>
        </w:rPr>
        <w:t xml:space="preserve">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Disclosure of Clinical Trial Information </w:t>
      </w:r>
    </w:p>
    <w:p>
      <w:pPr>
        <w:pStyle w:val="TextBody"/>
        <w:bidi w:val="0"/>
        <w:spacing w:before="120" w:after="0"/>
        <w:jc w:val="both"/>
        <w:rPr>
          <w:rFonts w:ascii="Times New Roman" w:hAnsi="Times New Roman"/>
          <w:sz w:val="20"/>
        </w:rPr>
      </w:pPr>
      <w:r>
        <w:rPr>
          <w:rFonts w:ascii="Times New Roman" w:hAnsi="Times New Roman"/>
          <w:sz w:val="20"/>
        </w:rPr>
        <w:t xml:space="preserve">Sponsors of clinical trials of FDA regulated products, including drugs, are required to register and disclose certain clinical trial information on ClinicalTrials.gov. Information related to the product, patient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Information </w:t>
      </w:r>
    </w:p>
    <w:p>
      <w:pPr>
        <w:pStyle w:val="TextBody"/>
        <w:bidi w:val="0"/>
        <w:spacing w:before="120" w:after="0"/>
        <w:jc w:val="both"/>
        <w:rPr>
          <w:rFonts w:ascii="Times New Roman" w:hAnsi="Times New Roman"/>
          <w:sz w:val="20"/>
        </w:rPr>
      </w:pPr>
      <w:r>
        <w:rPr>
          <w:rFonts w:ascii="Times New Roman" w:hAnsi="Times New Roman"/>
          <w:sz w:val="20"/>
        </w:rPr>
        <w:t xml:space="preserve">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FD&amp;C Act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The FDA and the sponsor must reach agreement on the PSP. The FDA may grant full or partial waivers, or deferrals, for submission of data. </w:t>
      </w:r>
    </w:p>
    <w:p>
      <w:pPr>
        <w:pStyle w:val="TextBody"/>
        <w:bidi w:val="0"/>
        <w:spacing w:before="240" w:after="0"/>
        <w:jc w:val="both"/>
        <w:rPr>
          <w:rFonts w:ascii="Times New Roman" w:hAnsi="Times New Roman"/>
          <w:sz w:val="20"/>
        </w:rPr>
      </w:pPr>
      <w:r>
        <w:rPr>
          <w:rFonts w:ascii="Times New Roman" w:hAnsi="Times New Roman"/>
          <w:sz w:val="20"/>
        </w:rPr>
        <w:t xml:space="preserve">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both"/>
        <w:rPr>
          <w:rFonts w:ascii="Times New Roman" w:hAnsi="Times New Roman"/>
          <w:sz w:val="20"/>
        </w:rPr>
      </w:pPr>
      <w:r>
        <w:rPr>
          <w:rFonts w:ascii="Times New Roman" w:hAnsi="Times New Roman"/>
          <w:sz w:val="20"/>
        </w:rPr>
        <w:t xml:space="preserve">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w:t>
      </w:r>
    </w:p>
    <w:p>
      <w:pPr>
        <w:pStyle w:val="TextBody"/>
        <w:bidi w:val="0"/>
        <w:spacing w:before="240" w:after="0"/>
        <w:jc w:val="both"/>
        <w:rPr>
          <w:rFonts w:ascii="Times New Roman" w:hAnsi="Times New Roman"/>
          <w:sz w:val="20"/>
        </w:rPr>
      </w:pPr>
      <w:r>
        <w:rPr>
          <w:rFonts w:ascii="Times New Roman" w:hAnsi="Times New Roman"/>
          <w:sz w:val="20"/>
        </w:rPr>
        <w:t xml:space="preserve">Adverse event reporting and submission of periodic reports are required following FDA approval of an NDA. The FDA also may require post-marketing testing, sometimes referred to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FDA may withdraw product approvals or request product recalls if a company fails to comply with regulatory standards, if it encounters problems following initial marketing, or if previously unrecognized problems are subsequently discovered.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Hatch-Waxman Amendments </w:t>
      </w:r>
    </w:p>
    <w:p>
      <w:pPr>
        <w:pStyle w:val="TextBody"/>
        <w:bidi w:val="0"/>
        <w:spacing w:before="120" w:after="0"/>
        <w:jc w:val="left"/>
        <w:rPr>
          <w:rFonts w:ascii="Times New Roman" w:hAnsi="Times New Roman"/>
          <w:i/>
          <w:sz w:val="20"/>
        </w:rPr>
      </w:pPr>
      <w:r>
        <w:rPr>
          <w:rFonts w:ascii="Times New Roman" w:hAnsi="Times New Roman"/>
          <w:i/>
          <w:sz w:val="20"/>
        </w:rPr>
        <w:t xml:space="preserve">Orange Book Listing </w:t>
      </w:r>
    </w:p>
    <w:p>
      <w:pPr>
        <w:pStyle w:val="TextBody"/>
        <w:bidi w:val="0"/>
        <w:spacing w:before="120" w:after="0"/>
        <w:jc w:val="both"/>
        <w:rPr>
          <w:rFonts w:ascii="Times New Roman" w:hAnsi="Times New Roman"/>
          <w:sz w:val="20"/>
        </w:rPr>
      </w:pPr>
      <w:r>
        <w:rPr>
          <w:rFonts w:ascii="Times New Roman" w:hAnsi="Times New Roman"/>
          <w:sz w:val="20"/>
        </w:rPr>
        <w:t xml:space="preserve">Under the Drug Price Competition and Patent Term Restoration Act of 1984, commonly referred to as the Hatch Waxman Amendments, NDA applicants are required to list with the FDA each patent whose claims cover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applicants product or approved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 </w:t>
      </w:r>
    </w:p>
    <w:p>
      <w:pPr>
        <w:pStyle w:val="TextBody"/>
        <w:bidi w:val="0"/>
        <w:spacing w:before="240" w:after="0"/>
        <w:jc w:val="both"/>
        <w:rPr>
          <w:rFonts w:ascii="Times New Roman" w:hAnsi="Times New Roman"/>
          <w:sz w:val="20"/>
        </w:rPr>
      </w:pPr>
      <w:r>
        <w:rPr>
          <w:rFonts w:ascii="Times New Roman" w:hAnsi="Times New Roman"/>
          <w:sz w:val="20"/>
        </w:rPr>
        <w:t xml:space="preserve">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 out) any language regarding the patented method-of-use rather than certify to a listed method-of-use patent. If the applicant does not challenge the listed patents, the ANDA application will not be approved until all the listed patents claiming the referenced product have expired. </w:t>
      </w:r>
    </w:p>
    <w:p>
      <w:pPr>
        <w:pStyle w:val="TextBody"/>
        <w:bidi w:val="0"/>
        <w:spacing w:before="240" w:after="0"/>
        <w:jc w:val="both"/>
        <w:rPr>
          <w:rFonts w:ascii="Times New Roman" w:hAnsi="Times New Roman"/>
          <w:sz w:val="20"/>
        </w:rPr>
      </w:pPr>
      <w:r>
        <w:rPr>
          <w:rFonts w:ascii="Times New Roman" w:hAnsi="Times New Roman"/>
          <w:sz w:val="20"/>
        </w:rPr>
        <w:t xml:space="preserve">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 </w:t>
      </w:r>
    </w:p>
    <w:p>
      <w:pPr>
        <w:pStyle w:val="TextBody"/>
        <w:bidi w:val="0"/>
        <w:spacing w:before="360" w:after="0"/>
        <w:jc w:val="left"/>
        <w:rPr>
          <w:rFonts w:ascii="Times New Roman" w:hAnsi="Times New Roman"/>
          <w:i/>
          <w:sz w:val="20"/>
        </w:rPr>
      </w:pPr>
      <w:r>
        <w:rPr>
          <w:rFonts w:ascii="Times New Roman" w:hAnsi="Times New Roman"/>
          <w:i/>
          <w:sz w:val="20"/>
        </w:rPr>
        <w:t xml:space="preserve">Exclusivity </w:t>
      </w:r>
    </w:p>
    <w:p>
      <w:pPr>
        <w:pStyle w:val="TextBody"/>
        <w:bidi w:val="0"/>
        <w:spacing w:before="120" w:after="0"/>
        <w:jc w:val="both"/>
        <w:rPr>
          <w:rFonts w:ascii="Times New Roman" w:hAnsi="Times New Roman"/>
          <w:sz w:val="20"/>
        </w:rPr>
      </w:pPr>
      <w:r>
        <w:rPr>
          <w:rFonts w:ascii="Times New Roman" w:hAnsi="Times New Roman"/>
          <w:sz w:val="20"/>
        </w:rPr>
        <w:t xml:space="preserve">Market exclusivity provisions under the FD&amp;C Act also can delay the submission or the approval of certain applications. An ANDA application will not be approved until any applicable non-patent exclusivity listed in the Orange Book for the referenced product has expired. Upon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An ANDA may be submitted one year before NCE exclusivity expires if a Paragraph IV certification is filed. If there is no listed patent in the Orange Book, there may not be a Paragraph IV certification, and, thus, no ANDA may be filed before the expiration of the exclusivity period. Certain changes to a drug, such as the approval of a new indication, new strength, or new condition of use, can be the subject of a three-year period of exclusivity from the date of approval if the application contains reports of new clinical investigations (other than bioavailability studies) conducted or sponsored by the sponsor that were essential to the approval of the application. The FDA cannot approve an ANDA for a generic drug that includes the change during the exclusivity period. In some instances, an ANDA applicant may receive approval prior to expiration of certain non-patent exclusivity if the applicant seeks, and FDA permits, the omission of such exclusivity-protected information from the ANDA prescribing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Patent Term Restoration </w:t>
      </w:r>
    </w:p>
    <w:p>
      <w:pPr>
        <w:pStyle w:val="TextBody"/>
        <w:bidi w:val="0"/>
        <w:spacing w:before="120" w:after="0"/>
        <w:jc w:val="both"/>
        <w:rPr>
          <w:rFonts w:ascii="Times New Roman" w:hAnsi="Times New Roman"/>
          <w:sz w:val="20"/>
        </w:rPr>
      </w:pPr>
      <w:r>
        <w:rPr>
          <w:rFonts w:ascii="Times New Roman" w:hAnsi="Times New Roman"/>
          <w:sz w:val="20"/>
        </w:rPr>
        <w:t xml:space="preserve">After NDA approval, the owner of a relevant drug patent may apply for up to a five-year patent extension. Only one patent may be extended for each regulatory review period, which is composed of two parts: a testing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phase and an approval phase. The allowable patent term extension is generally calculated as half of the drugs testing phase (the time between IND application and NDA submission) and all of the review phase (the time between NDA submission and approval) up to a maximum of five years. If the extended patent was issued during the development or review period, the calculation begins from the date of patent issuance. The review period can be shortened if the FDA determines that the applicant did not pursue approval with due diligence. The total patent term after the extension may not exceed 14 years. </w:t>
      </w:r>
    </w:p>
    <w:p>
      <w:pPr>
        <w:pStyle w:val="TextBody"/>
        <w:bidi w:val="0"/>
        <w:spacing w:before="240" w:after="0"/>
        <w:jc w:val="both"/>
        <w:rPr>
          <w:rFonts w:ascii="Times New Roman" w:hAnsi="Times New Roman"/>
          <w:sz w:val="20"/>
        </w:rPr>
      </w:pPr>
      <w:r>
        <w:rPr>
          <w:rFonts w:ascii="Times New Roman" w:hAnsi="Times New Roman"/>
          <w:sz w:val="20"/>
        </w:rPr>
        <w:t xml:space="preserve">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for which an NDA has not been submitted.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both"/>
        <w:rPr>
          <w:rFonts w:ascii="Times New Roman" w:hAnsi="Times New Roman"/>
          <w:sz w:val="20"/>
        </w:rPr>
      </w:pPr>
      <w:r>
        <w:rPr>
          <w:rFonts w:ascii="Times New Roman" w:hAnsi="Times New Roman"/>
          <w:sz w:val="20"/>
        </w:rPr>
        <w:t xml:space="preserve">Sales of a product in the U.S. will depend,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The process for determining whether a payor will provide coverage for a drug product may be separate from the process for setting the reimbursement rate that the payor will pay for the drug. Third-party payors may limit coverage to specific drug products on an approved list, or formulary, which might not include all of FDA-approved drugs for a particular indication. Further, one payors determination to provide coverage for a drug product does not ensure that other payors will also provide coverage for the drug product. Coverage policies and third-party payor reimbursement rates may change at any time and can differ significantly from payor to payor.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payor reimbursement or a decision by a third-party payor to not cover a product could reduce physician usage and patient demand for the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price transparency and reporting, privacy and cybersecurity laws, and other healthcare laws and regulations. </w:t>
      </w:r>
    </w:p>
    <w:p>
      <w:pPr>
        <w:pStyle w:val="TextBody"/>
        <w:bidi w:val="0"/>
        <w:spacing w:before="240" w:after="0"/>
        <w:jc w:val="both"/>
        <w:rPr>
          <w:rFonts w:ascii="Times New Roman" w:hAnsi="Times New Roman"/>
          <w:sz w:val="20"/>
        </w:rPr>
      </w:pPr>
      <w:r>
        <w:rPr>
          <w:rFonts w:ascii="Times New Roman" w:hAnsi="Times New Roman"/>
          <w:sz w:val="20"/>
        </w:rPr>
        <w:t xml:space="preserve">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others, on the other. Violations of the federal Anti-Kickback Statute are punishable by imprisonment, criminal fines, civil monetary penalties, and exclusion from participation in federal healthcare programs.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a violation of the federal Anti-Kickback Statute can serve as a basis for liability under the federal civil False Claims Act. </w:t>
      </w:r>
    </w:p>
    <w:p>
      <w:pPr>
        <w:pStyle w:val="TextBody"/>
        <w:bidi w:val="0"/>
        <w:spacing w:before="240" w:after="0"/>
        <w:jc w:val="both"/>
        <w:rPr>
          <w:rFonts w:ascii="Times New Roman" w:hAnsi="Times New Roman"/>
          <w:sz w:val="20"/>
        </w:rPr>
      </w:pPr>
      <w:r>
        <w:rPr>
          <w:rFonts w:ascii="Times New Roman" w:hAnsi="Times New Roman"/>
          <w:sz w:val="20"/>
        </w:rPr>
        <w:t xml:space="preserve">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 </w:t>
      </w:r>
    </w:p>
    <w:p>
      <w:pPr>
        <w:pStyle w:val="TextBody"/>
        <w:bidi w:val="0"/>
        <w:spacing w:before="240" w:after="0"/>
        <w:jc w:val="both"/>
        <w:rPr>
          <w:rFonts w:ascii="Times New Roman" w:hAnsi="Times New Roman"/>
          <w:sz w:val="20"/>
        </w:rPr>
      </w:pPr>
      <w:r>
        <w:rPr>
          <w:rFonts w:ascii="Times New Roman" w:hAnsi="Times New Roman"/>
          <w:sz w:val="20"/>
        </w:rPr>
        <w:t xml:space="preserve">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w:t>
      </w:r>
    </w:p>
    <w:p>
      <w:pPr>
        <w:pStyle w:val="TextBody"/>
        <w:bidi w:val="0"/>
        <w:spacing w:before="240" w:after="0"/>
        <w:jc w:val="both"/>
        <w:rPr>
          <w:rFonts w:ascii="Times New Roman" w:hAnsi="Times New Roman"/>
          <w:sz w:val="20"/>
        </w:rPr>
      </w:pPr>
      <w:r>
        <w:rPr>
          <w:rFonts w:ascii="Times New Roman" w:hAnsi="Times New Roman"/>
          <w:sz w:val="20"/>
        </w:rPr>
        <w:t xml:space="preserve">In addition, HIPAA, as amended by the Health Information Technology for Economic and Clinical Health Act of 2009 (HITECH), and their respective implementing regulations, including the Final Omnibus Rule published on January 25, 2013, impose obligations on certain healthcare providers, health plans, and healthcare clearinghouses, known as covered entities, as well as their business associates and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 For example, the California Consumer Privacy Act of 2018 (CCPA), imposes obligations on businesses to which it applies, including, but not limited to, providing specific disclosures in privacy notices and affording California residents certain rights related to their personal data, although it exempts some data processed in the context of clinical trials. In addition, the California Privacy Rights Act of 2020 (CPRA), which went into effect on January 1, 2023, imposes additional obligations on companies covered by the legislation and significantly modifies the CCPA, including by expanding consumers rights with respect to certain sensitive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personal information. The CPRA also creates a new state agency that is vested with authority to implement and enforce the CCPA and CPRA.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In addition,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 </w:t>
      </w:r>
    </w:p>
    <w:p>
      <w:pPr>
        <w:pStyle w:val="TextBody"/>
        <w:bidi w:val="0"/>
        <w:spacing w:before="240" w:after="0"/>
        <w:jc w:val="both"/>
        <w:rPr>
          <w:rFonts w:ascii="Times New Roman" w:hAnsi="Times New Roman"/>
          <w:sz w:val="20"/>
        </w:rPr>
      </w:pPr>
      <w:r>
        <w:rPr>
          <w:rFonts w:ascii="Times New Roman" w:hAnsi="Times New Roman"/>
          <w:sz w:val="20"/>
        </w:rPr>
        <w:t xml:space="preserve">Further, pursuant to the federal Physician Payments Sunshine Act, enacted as part of the ACA, the Centers for Medicare &amp; Medicaid Services (CMS), has issued a final rule that requires manufacturers of approved prescription drugs that are reimbursable under Medicare, Medicaid, or the Childrens Health Insurance Program, with certain exceptions, to collect and report information on certain payments or transfers of value to physicians (defined to include doctors, dentists, optometrists, podiatrists and chiropractors), certain non-physician practitioners (such as physician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Several states, including California, Connecticut, Nevada, and Massachusetts, require pharmaceutical companies to implement compliance programs and/or marketing codes. Still other states require the posting of information relating to clinical studies and their outcomes. A growing number of states require the reporting of certain drug pricing information, including information pertaining to and justifying price increases and the prices of newly launched drugs, or prohibit prescription drug price gouging. In addition, certain states require pharmaceutical companies to implement compliance programs and/or marketing codes. Certain states and local jurisdictions also require the registration of pharmaceutical sales and medical representatives. Compliance with these laws is difficult and time consuming, and companies that do not comply with these state laws face civil penalties. </w:t>
      </w:r>
    </w:p>
    <w:p>
      <w:pPr>
        <w:pStyle w:val="TextBody"/>
        <w:bidi w:val="0"/>
        <w:spacing w:before="240" w:after="0"/>
        <w:jc w:val="both"/>
        <w:rPr>
          <w:rFonts w:ascii="Times New Roman" w:hAnsi="Times New Roman"/>
          <w:sz w:val="20"/>
        </w:rPr>
      </w:pPr>
      <w:r>
        <w:rPr>
          <w:rFonts w:ascii="Times New Roman" w:hAnsi="Times New Roman"/>
          <w:sz w:val="20"/>
        </w:rPr>
        <w:t xml:space="preserve">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Any action for an alleged or suspected violation can cause a drug company to incur significant legal expenses and divert managements attention from the operation of the business, even if such action is successfully defended.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Healthcare Reform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was enacted, which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240" w:after="0"/>
        <w:jc w:val="both"/>
        <w:rPr>
          <w:rFonts w:ascii="Times New Roman" w:hAnsi="Times New Roman"/>
          <w:sz w:val="20"/>
        </w:rPr>
      </w:pPr>
      <w:r>
        <w:rPr>
          <w:rFonts w:ascii="Times New Roman" w:hAnsi="Times New Roman"/>
          <w:sz w:val="20"/>
        </w:rPr>
        <w:t xml:space="preserve">Several healthcare reform proposals culminated in the enactment of the Inflation Reduction Act (IRA) in August 2022, which will eliminate, beginning in 2025, the coverage gap under Medicare Part D by significantly lowering the enrollee maximum out-of-pocket cost and requiring manufacturers to subsidize, through a newly established manufacturer discount program, 10% of Part D enrollees prescription costs for brand drugs below the out-of-pocket maximum, and 20% once the out-of-pocket maximum has been reached. Among other things, the IRA also requires HHS to negotiate the selling price of a statutorily specified number of drugs and biologics each year that CMS reimburses under Medicare Part B and Part D. Only high-expenditure single-source drugs that have been approved for at least 7 years (11 years for biologics) are eligible to be selected by CMS for negotiation, with the negotiated price taking effect two years after the selection year. Negotiations for Medicare Part D products began in 2024 with the negotiated price taking effect in 2026, and negotiations for Medicare Part B products begin in 2026 with the negotiated price taking effect in 2028. In August 2023, HHS announced the ten Medicare Part D drugs and biologics that it selected for negotiations. HHS will announce the negotiated maximum fair prices by September 1, 2024. This price cap, which cannot exceed a statutory ceiling price, will come into effect on January 1, 2026, and will represent a significant discount from average prices to wholesalers and direct purchasers. The IRA also imposes rebates on Medicare Part B and Part D drugs whose prices have increased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These provisions may be subject to legal challenges. For example, the provisions related to the negotiation of selling prices of high-expenditure single-source drugs and biologics have been challenged in multiple lawsuits brought by pharmaceutical manufacturers. The outcome of these lawsuits is uncertain. Thus, while it is unclear how the IRA will be implemented, it will likely have a significant impact on the pharmaceutical industry and the pricing of prescription drug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2024, we had 60 employees, 58 of whom were full-time and 41 of whom were engaged in research and development activities. Approximately 48% of our employees hold Ph.D. or M.D. or other advanced degrees. Women comprise approximately 45% of our employees, and individuals from underrepresented ethnic groups comprise approximately 30%. Women comprise approximately 33% of our senior leadership team and 25% of our board of directors. None of our employees are represented by a labor union or covered under a collective bargaining agreement. We consider our relationship with our employees to be good. </w:t>
      </w:r>
    </w:p>
    <w:p>
      <w:pPr>
        <w:pStyle w:val="TextBody"/>
        <w:bidi w:val="0"/>
        <w:spacing w:before="240" w:after="0"/>
        <w:jc w:val="both"/>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the success of our Company by motivating such individuals to perform to the best of their abilities and achieve our objectives. We also strive to foster career growth and internal mobility by providing a broad range of training, mentoring and other development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both"/>
        <w:rPr>
          <w:rFonts w:ascii="Times New Roman" w:hAnsi="Times New Roman"/>
          <w:sz w:val="20"/>
        </w:rPr>
      </w:pPr>
      <w:r>
        <w:rPr>
          <w:rFonts w:ascii="Times New Roman" w:hAnsi="Times New Roman"/>
          <w:sz w:val="20"/>
        </w:rPr>
        <w:t xml:space="preserve">Our headquarters are located in Richmond, California where we lease and occupy 18,829 square feet of office, and laboratory and warehouse space. The current term of our lease expires in August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believe that our existing facilities are sufficient to meet our near-term needs and that suitable additional space will be available as and when needed.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35745_11"/>
      <w:bookmarkEnd w:id="13"/>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including ages as of August 31, 2024, regarding our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28"/>
        <w:gridCol w:w="137"/>
        <w:gridCol w:w="305"/>
        <w:gridCol w:w="137"/>
        <w:gridCol w:w="5298"/>
      </w:tblGrid>
      <w:tr>
        <w:trPr/>
        <w:tc>
          <w:tcPr>
            <w:tcW w:w="4328"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5298" w:type="dxa"/>
            <w:tcBorders/>
            <w:vAlign w:val="center"/>
          </w:tcPr>
          <w:p>
            <w:pPr>
              <w:pStyle w:val="TableContents"/>
              <w:bidi w:val="0"/>
              <w:spacing w:before="0" w:after="283"/>
              <w:jc w:val="left"/>
              <w:rPr>
                <w:sz w:val="4"/>
                <w:szCs w:val="4"/>
              </w:rPr>
            </w:pPr>
            <w:r>
              <w:rPr>
                <w:sz w:val="4"/>
                <w:szCs w:val="4"/>
              </w:rPr>
            </w:r>
          </w:p>
        </w:tc>
      </w:tr>
      <w:tr>
        <w:trPr/>
        <w:tc>
          <w:tcPr>
            <w:tcW w:w="43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 and Employee Directors:</w:t>
            </w:r>
          </w:p>
        </w:tc>
        <w:tc>
          <w:tcPr>
            <w:tcW w:w="137" w:type="dxa"/>
            <w:tcBorders/>
            <w:vAlign w:val="bottom"/>
          </w:tcPr>
          <w:p>
            <w:pPr>
              <w:pStyle w:val="TableContents"/>
              <w:bidi w:val="0"/>
              <w:spacing w:before="0" w:after="283"/>
              <w:jc w:val="left"/>
              <w:rPr/>
            </w:pPr>
            <w:r>
              <w:rPr/>
              <w:t>  </w:t>
            </w:r>
          </w:p>
        </w:tc>
        <w:tc>
          <w:tcPr>
            <w:tcW w:w="3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Age</w:t>
            </w:r>
          </w:p>
        </w:tc>
        <w:tc>
          <w:tcPr>
            <w:tcW w:w="137" w:type="dxa"/>
            <w:tcBorders/>
            <w:vAlign w:val="bottom"/>
          </w:tcPr>
          <w:p>
            <w:pPr>
              <w:pStyle w:val="TableContents"/>
              <w:bidi w:val="0"/>
              <w:spacing w:before="0" w:after="283"/>
              <w:jc w:val="left"/>
              <w:rPr/>
            </w:pPr>
            <w:r>
              <w:rPr/>
              <w:t>  </w:t>
            </w:r>
          </w:p>
        </w:tc>
        <w:tc>
          <w:tcPr>
            <w:tcW w:w="52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r>
      <w:tr>
        <w:trPr>
          <w:trHeight w:val="30"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Kristen Fortney, Ph.D.</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41</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tc>
      </w:tr>
      <w:tr>
        <w:trPr>
          <w:trHeight w:val="30"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Dov Goldstein, M.D.</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56</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rHeight w:val="30"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Eric Morgen, M.D.</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42</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Chief Operating Officer and Director</w:t>
            </w:r>
          </w:p>
        </w:tc>
      </w:tr>
      <w:tr>
        <w:trPr>
          <w:trHeight w:val="30"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Paul Rubin, M.D.</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70</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Chief Medical Officer</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Non-Employee Directors:</w:t>
            </w:r>
          </w:p>
        </w:tc>
      </w:tr>
      <w:tr>
        <w:trPr>
          <w:trHeight w:val="75"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Jean-Pierre Garnier, Ph.D.(1)</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76</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Chair of the Board</w:t>
            </w:r>
          </w:p>
        </w:tc>
      </w:tr>
      <w:tr>
        <w:trPr>
          <w:trHeight w:val="75"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Michael Davidson, M.D.(1)(3)</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67</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Patrick Enright(2)</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62</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James Healy, M.D., Ph.D.(1)(3)</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59</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Rekha Hemrajani(2)(3)</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55</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4328"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435" w:type="dxa"/>
            <w:gridSpan w:val="2"/>
            <w:tcBorders/>
            <w:vAlign w:val="center"/>
          </w:tcPr>
          <w:p>
            <w:pPr>
              <w:pStyle w:val="TableContents"/>
              <w:bidi w:val="0"/>
              <w:spacing w:before="0" w:after="283"/>
              <w:jc w:val="left"/>
              <w:rPr>
                <w:sz w:val="4"/>
                <w:szCs w:val="4"/>
              </w:rPr>
            </w:pPr>
            <w:r>
              <w:rPr>
                <w:sz w:val="4"/>
                <w:szCs w:val="4"/>
              </w:rPr>
            </w:r>
          </w:p>
        </w:tc>
      </w:tr>
      <w:tr>
        <w:trPr/>
        <w:tc>
          <w:tcPr>
            <w:tcW w:w="4328" w:type="dxa"/>
            <w:tcBorders/>
          </w:tcPr>
          <w:p>
            <w:pPr>
              <w:pStyle w:val="TableContents"/>
              <w:bidi w:val="0"/>
              <w:spacing w:before="0" w:after="0"/>
              <w:jc w:val="left"/>
              <w:rPr>
                <w:rFonts w:ascii="Times New Roman" w:hAnsi="Times New Roman"/>
                <w:sz w:val="20"/>
              </w:rPr>
            </w:pPr>
            <w:r>
              <w:rPr>
                <w:rFonts w:ascii="Times New Roman" w:hAnsi="Times New Roman"/>
                <w:sz w:val="20"/>
              </w:rPr>
              <w:t>Vijay Pande, Ph.D.(2)</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53</w:t>
            </w:r>
          </w:p>
        </w:tc>
        <w:tc>
          <w:tcPr>
            <w:tcW w:w="137" w:type="dxa"/>
            <w:tcBorders/>
            <w:vAlign w:val="bottom"/>
          </w:tcPr>
          <w:p>
            <w:pPr>
              <w:pStyle w:val="TableContents"/>
              <w:bidi w:val="0"/>
              <w:spacing w:before="0" w:after="283"/>
              <w:jc w:val="left"/>
              <w:rPr/>
            </w:pPr>
            <w:r>
              <w:rPr/>
              <w:t>  </w:t>
            </w:r>
          </w:p>
        </w:tc>
        <w:tc>
          <w:tcPr>
            <w:tcW w:w="529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Member of the Nominating and Governance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Directors </w:t>
      </w:r>
    </w:p>
    <w:p>
      <w:pPr>
        <w:pStyle w:val="TextBody"/>
        <w:bidi w:val="0"/>
        <w:spacing w:before="120" w:after="0"/>
        <w:jc w:val="both"/>
        <w:rPr>
          <w:rFonts w:ascii="Times New Roman" w:hAnsi="Times New Roman"/>
          <w:sz w:val="20"/>
        </w:rPr>
      </w:pPr>
      <w:r>
        <w:rPr>
          <w:rFonts w:ascii="Times New Roman" w:hAnsi="Times New Roman"/>
          <w:b/>
          <w:i/>
          <w:sz w:val="20"/>
        </w:rPr>
        <w:t>Kristen Fortney, Ph.D.</w:t>
      </w:r>
      <w:r>
        <w:rPr>
          <w:rFonts w:ascii="Times New Roman" w:hAnsi="Times New Roman"/>
          <w:sz w:val="20"/>
        </w:rPr>
        <w:t xml:space="preserve">, is our co-founder and has served as our Chief Executive Officer, President, and a member of our board of directors since our inception in April 2015. She also currently serves as an Advisor to several biotechnology companies. Dr. Fortney received her Ph.D. in Medical Biophysics from the University of Toronto and completed postdoctoral training at Stanford University where she was a fellow of the Ellison Medical Foundation / American Federation for Aging Research. We believe Dr. Fortney is qualified to serve on our board of directors because of her extensive experience in the biopharmaceutical industry and leadership experience, including her role as our co-founder, Chief Executive Officer, and President. </w:t>
      </w:r>
    </w:p>
    <w:p>
      <w:pPr>
        <w:pStyle w:val="TextBody"/>
        <w:bidi w:val="0"/>
        <w:spacing w:before="240" w:after="0"/>
        <w:jc w:val="both"/>
        <w:rPr>
          <w:rFonts w:ascii="Times New Roman" w:hAnsi="Times New Roman"/>
          <w:sz w:val="20"/>
        </w:rPr>
      </w:pPr>
      <w:r>
        <w:rPr>
          <w:rFonts w:ascii="Times New Roman" w:hAnsi="Times New Roman"/>
          <w:b/>
          <w:i/>
          <w:sz w:val="20"/>
        </w:rPr>
        <w:t>Dov Goldstein, M.D., M.B.A</w:t>
      </w:r>
      <w:r>
        <w:rPr>
          <w:rFonts w:ascii="Times New Roman" w:hAnsi="Times New Roman"/>
          <w:b/>
          <w:sz w:val="20"/>
        </w:rPr>
        <w:t>.</w:t>
      </w:r>
      <w:r>
        <w:rPr>
          <w:rFonts w:ascii="Times New Roman" w:hAnsi="Times New Roman"/>
          <w:sz w:val="20"/>
        </w:rPr>
        <w:t xml:space="preserve">, has served as our Chief Financial Officer since November 2021. Prior to joining us, from August 2020 to November 2021, he served as the Chief Financial Officer and Chief Business Officer of Indapta Therapeutics, Inc., a biotechnology company. From November 2019 to July 2020, Dr. Goldstein served as the Chief Executive Officer of RIGImmune Inc, a biopharmaceutical company. Prior to that, he served as the Chief Financial Officer at Schrödinger, LLC, a biotechnology company. Dr. Goldstein held various leadership roles of increasing responsibility at Aisling Capital, a private investment firm, from September 2006 to November 2019, serving as its Managing Partner from 2014 to 2019. Dr. Goldstein served as the Chief Financial Officer of Loxo Oncology, Inc., a biopharmaceutical company, between July 2014 and April 2015. Dr. Goldstein currently serves on the board of directors of NeuBase Therapeutics, Inc. since July 2019 and Gain Therapeutics, Inc. since December 2020. Dr. Goldstein previously served on the board of directors for ADMA Biologics, Inc. from May 2008 to November 2019, Loxo Oncology, Inc. from July 2013 to October 2014, Esperion Therapeutics, Inc. from May 2008 to May 2019, Durata Therapeutics, Inc. from 2009 to 2013, and Cempra Pharmaceuticals, Inc. from 2007 to 2017. Dr. Goldstein received a B.S. in Biological Sciences from Stanford University, an M.B.A. from Columbia Business School and an M.D. from Yale School of Medicine. </w:t>
      </w:r>
    </w:p>
    <w:p>
      <w:pPr>
        <w:pStyle w:val="TextBody"/>
        <w:bidi w:val="0"/>
        <w:spacing w:before="240" w:after="0"/>
        <w:jc w:val="both"/>
        <w:rPr>
          <w:rFonts w:ascii="Times New Roman" w:hAnsi="Times New Roman"/>
          <w:sz w:val="20"/>
        </w:rPr>
      </w:pPr>
      <w:r>
        <w:rPr>
          <w:rFonts w:ascii="Times New Roman" w:hAnsi="Times New Roman"/>
          <w:b/>
          <w:i/>
          <w:sz w:val="20"/>
        </w:rPr>
        <w:t>Eric Morgen, M.D.</w:t>
      </w:r>
      <w:r>
        <w:rPr>
          <w:rFonts w:ascii="Times New Roman" w:hAnsi="Times New Roman"/>
          <w:sz w:val="20"/>
        </w:rPr>
        <w:t xml:space="preserve">, is our co-founder and has served as our Chief Operating Officer since May 2020 and as a member of our board of directors since June 2017. Previously, Dr. Morgen served as our Chief Medical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Officer from February 2018 to April 2020. From July 2016 to January 2018, Dr. Morgen served as an Assistant Professor at the University of Toronto, where his research focused on biomarker discovery and characterization in high-dimensional datasets from human cohorts. Prior to that, Dr. Morgen served from July 2014 to June 2016 as a Clinical Fellow and a Research Fellow in Computational Biology and Molecular Epidemiology at the University of Toronto, where he held a Canada Graduate Scholarship from the Canadian Institutes of Health Research, and was subsequently a CIHR research fellow. Dr. Morgen is a licentiate of the Medical Council of Canada, a fellow of the Royal College of Physicians and Surgeons of Canada, and previously practiced medicine at Mount Sinai Hospital in Toronto. Dr. Morgen received his Honours Bachelor of Science from the University of Toronto, Innis College, his M.P.H. from the Dalla Lana School of Public Health at the University of Toronto and his M.D. from the Faculty of Medicine at the University of Toronto. We believe that Dr. Morgens experience as our Chief Operating Officer and Chief Medical Officer, and his medical training and scientific expertise qualifies him to serve on our board of directors. </w:t>
      </w:r>
    </w:p>
    <w:p>
      <w:pPr>
        <w:pStyle w:val="TextBody"/>
        <w:bidi w:val="0"/>
        <w:spacing w:before="240" w:after="0"/>
        <w:jc w:val="both"/>
        <w:rPr>
          <w:rFonts w:ascii="Times New Roman" w:hAnsi="Times New Roman"/>
          <w:sz w:val="20"/>
        </w:rPr>
      </w:pPr>
      <w:r>
        <w:rPr>
          <w:rFonts w:ascii="Times New Roman" w:hAnsi="Times New Roman"/>
          <w:b/>
          <w:i/>
          <w:sz w:val="20"/>
        </w:rPr>
        <w:t>Paul Rubin, M.D.</w:t>
      </w:r>
      <w:r>
        <w:rPr>
          <w:rFonts w:ascii="Times New Roman" w:hAnsi="Times New Roman"/>
          <w:sz w:val="20"/>
        </w:rPr>
        <w:t xml:space="preserve">, has served as our Chief Medical Officer since May 2020. Prior to joining us, Dr. Rubin was the Executive Vice President of Research and Development at miRagen Therapeutics, Inc., a biotechnology company, from November 2016 to December 2019. Prior to that, he also served as Senior Vice President of Research and Development and Chief Medical Officer at XOMA Corporation, a biopharmaceutical company, from June 2011 to November 2016. Prior to that, Dr. Rubin served as Chief Executive Officer of Resolvyx Pharmaceuticals, Inc., a biopharmaceutical company, from June 2007 to May 2009, and President and Chief Executive Officer of Critical Therapeutics, Inc., a biopharmaceutical company, from August 2002 to May 2007. Dr. Rubin received a B.A. from Occidental College and his M.D. from Rush Medical College. He is also board certified in internal medicine completing his post-graduate training at the University of Wisconsin Hospital and Clinics.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both"/>
        <w:rPr>
          <w:rFonts w:ascii="Times New Roman" w:hAnsi="Times New Roman"/>
          <w:sz w:val="20"/>
        </w:rPr>
      </w:pPr>
      <w:r>
        <w:rPr>
          <w:rFonts w:ascii="Times New Roman" w:hAnsi="Times New Roman"/>
          <w:b/>
          <w:i/>
          <w:sz w:val="20"/>
        </w:rPr>
        <w:t>Jean-Pierre Garnier, Ph.D., M.B.A.,</w:t>
      </w:r>
      <w:r>
        <w:rPr>
          <w:rFonts w:ascii="Times New Roman" w:hAnsi="Times New Roman"/>
          <w:sz w:val="20"/>
        </w:rPr>
        <w:t xml:space="preserve"> has served as a member and chair of our board of directors since August 2024. Since 2019, Dr. Garnier has served as a member of the board of directors of Carrier Global Corporation, a public company and as a member and chair of the board of directors of Cellectis S.A., a public biopharmaceutical company. From 2015 to 2022, Dr. Garnier served as a member of the board of directors of Radius Health, Inc., a public pharmaceutical company. From 2018 to 2022, he served as a member and chair of the board of directors of Carmat, a public medical equipment manufacturing company based in France. From 2018 to 2020, Dr. Garnier served as a member and chair of the board of directors of Idorsia, a public biotechnology company based in Switzerland and listed on the Swiss Stock Exchange. Prior to Idorsia, Dr. Garnier served as a member and chair of the board of directors of Actelion Ltd., a Swiss pharmaceuticals and bio-technology company. From 2008 to 2010, Dr. Garnier served as Chief Executive Officer of Pierre Fabre. From 2000 to 2008, Dr. Garnier served as Chief Executive Officer and Executive Member of the board of directors of GlaxoSmithKline plc. In 2000, Dr. Garnier served as Chief Executive Officer of SmithKline Beecham plc. Dr. Garnier has served as a member of the board of directors of Renault S.A. from 2008 to 2016, United Technologies Corporation from 1997 to 2019, and Max Planck Institute from 2013 to 2019. Dr. Garnier holds an M.S. in pharmaceutical science and a Ph.D. in pharmacology from the Louis Pasteur University of Strasbourg, France. He subsequently earned his M.B.A. at Stanford University, California, as a Fulbright Scholar. We believe Dr. Garnier is qualified to serve on our board of directors because of his medical training and extensive leadership experience in the biotechnology industry. </w:t>
      </w:r>
    </w:p>
    <w:p>
      <w:pPr>
        <w:pStyle w:val="TextBody"/>
        <w:bidi w:val="0"/>
        <w:spacing w:before="240" w:after="0"/>
        <w:jc w:val="both"/>
        <w:rPr>
          <w:rFonts w:ascii="Times New Roman" w:hAnsi="Times New Roman"/>
          <w:sz w:val="20"/>
        </w:rPr>
      </w:pPr>
      <w:r>
        <w:rPr>
          <w:rFonts w:ascii="Times New Roman" w:hAnsi="Times New Roman"/>
          <w:b/>
          <w:i/>
          <w:sz w:val="20"/>
        </w:rPr>
        <w:t>Michael Davidson, M.D.</w:t>
      </w:r>
      <w:r>
        <w:rPr>
          <w:rFonts w:ascii="Times New Roman" w:hAnsi="Times New Roman"/>
          <w:sz w:val="20"/>
        </w:rPr>
        <w:t xml:space="preserve">, has served as a member of our board of directors since March of 2024. Since August of 2020, Dr. Davidson has served as Chief Executive Officer and Executive Director at NewAmsterdam Pharma Company B.V., a pharmaceutical company. Prior to joining NewAmsterdam Pharma B.V., Dr. Davidson was the founder and Chief Executive Officer of Corvidia Therapeutics, Inc., a cardio-renal disease therapy company, from January 2016 to April 2018 and the Chief Science and Medical Officer from April 2018 to July 2020, when Corvidia Therapeutics, Inc. was acquired by Novo Nordisk A/S. Dr. Davidson is board-certified in internal medicine, cardiology, and clinical lipidology and served as President of the National Lipid Association from May 2010 to May 2011. Dr. Davidson currently serves on the board of directors of Tenax Therapeutics, Inc., a biopharmaceutical company, since April 2021 and Silence Therapeutics plc since January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Dr. Davidson also serves on the boards of two private biotechnology companies, SonoThera, Inc. and NanoPhoria Bioscience. Dr. Davidson received his B.A. and M.S. from Northwestern University and his M.D. from The Ohio State University School of Medicine. We believe Dr. Davidson is qualified to serve on our board of directors because of his medical training and extensive leadership experience in the industry. </w:t>
      </w:r>
    </w:p>
    <w:p>
      <w:pPr>
        <w:pStyle w:val="TextBody"/>
        <w:bidi w:val="0"/>
        <w:spacing w:before="240" w:after="0"/>
        <w:jc w:val="both"/>
        <w:rPr>
          <w:rFonts w:ascii="Times New Roman" w:hAnsi="Times New Roman"/>
          <w:sz w:val="20"/>
        </w:rPr>
      </w:pPr>
      <w:r>
        <w:rPr>
          <w:rFonts w:ascii="Times New Roman" w:hAnsi="Times New Roman"/>
          <w:b/>
          <w:i/>
          <w:sz w:val="20"/>
        </w:rPr>
        <w:t>Patrick Enright, M.B.A.,</w:t>
      </w:r>
      <w:r>
        <w:rPr>
          <w:rFonts w:ascii="Times New Roman" w:hAnsi="Times New Roman"/>
          <w:sz w:val="20"/>
        </w:rPr>
        <w:t xml:space="preserve"> has served on our board of directors since February 2024. Mr. Enright co-founded Longitude Capital, a healthcare venture capital firm, where he has served as a Managing Director since 2006. Previously, Mr. Enright was a Managing Director of Pequot Ventures from 2002 to 2007, where he co-led the life sciences investment practice. Mr. Enright also has significant life sciences operations experience, including senior executive positions at Valentis, Inc., Boehringer Mannheim Pharmaceuticals Corp. (acquired by Roche) and Sandoz, Inc. (now known as Novartis). Mr. Enright currently serves on the boards of directors of Vera Therapeutics, Inc., Jazz Pharmaceuticals plc, and other privately held healthcare companies. Mr. Enright previously served on the boards of directors of over twenty companies, including Aimmune Therapeutics, Inc. (acquired by Nestlé) from 2013 to 2020, Corcept Therapeutics, Inc. from 2008 to 2017, and Vaxcyte, Inc. from 2015 to 2020. Mr. Enright received a B.S. in Biological Sciences from Stanford University and an M.B.A. from The Wharton School of the University of Pennsylvania. We believe that Mr. Enright is qualified to serve on our board of directors due to his experience serving on the board of directors of clinical-stage biotechnology companies and his investment experience in the life sciences industry. </w:t>
      </w:r>
    </w:p>
    <w:p>
      <w:pPr>
        <w:pStyle w:val="TextBody"/>
        <w:bidi w:val="0"/>
        <w:spacing w:before="240" w:after="0"/>
        <w:jc w:val="both"/>
        <w:rPr>
          <w:rFonts w:ascii="Times New Roman" w:hAnsi="Times New Roman"/>
          <w:sz w:val="20"/>
        </w:rPr>
      </w:pPr>
      <w:r>
        <w:rPr>
          <w:rFonts w:ascii="Times New Roman" w:hAnsi="Times New Roman"/>
          <w:b/>
          <w:i/>
          <w:sz w:val="20"/>
        </w:rPr>
        <w:t>James Healy, M.D., Ph.D.,</w:t>
      </w:r>
      <w:r>
        <w:rPr>
          <w:rFonts w:ascii="Times New Roman" w:hAnsi="Times New Roman"/>
          <w:sz w:val="20"/>
        </w:rPr>
        <w:t xml:space="preserve"> has served on our board of directors since February 2024. Dr. Healy has been a general partner at Sofinnova Investments, Inc. (formerly Sofinnova Ventures), a biotechnology investment firm, since June 2000. Dr. Healy currently serves on the board of directors of Natera, Inc. since November 2014, Bolt Biotherapeutics, Inc. since January 2021, ArriVent Biopharma, Inc. since 2022; Y-mAbs, Inc. and several private companies. Dr. Healy has previously served on the boards of directors of Ascendis Pharma A/S, Amarin Corporation, Auris Medical Holding AG, CinCor Pharma Inc., Coherus BioSciences, Inc., Edge Therapeutics, Inc., Hyperion Therapeutics, Inc., InterMune, Inc., Iterum Therapeutics plc, Anthera Pharmaceuticals, Inc., Karuna Therapeutics, Inc., Durata Therapeutics, Inc., CoTherix, Inc., Movetis NV, NuCana plc, ObsEva SA and several private companies, as well as on the board of the National Venture Capital Association and the board of the Biotechnology Industry Organization. Dr. Healy holds a B.A. in Molecular Biology and in Scandinavian Studies from the University of California, Berkeley, and an M.D. and Ph.D. in Immunology from Stanford University School of Medicine. We believe that Dr. Healy is qualified to serve on our board of directors due to his extensive scientific expertise, investment experience, and experience in venture capital and the life sciences industry. </w:t>
      </w:r>
    </w:p>
    <w:p>
      <w:pPr>
        <w:pStyle w:val="TextBody"/>
        <w:bidi w:val="0"/>
        <w:spacing w:before="240" w:after="0"/>
        <w:jc w:val="both"/>
        <w:rPr>
          <w:rFonts w:ascii="Times New Roman" w:hAnsi="Times New Roman"/>
          <w:sz w:val="20"/>
        </w:rPr>
      </w:pPr>
      <w:r>
        <w:rPr>
          <w:rFonts w:ascii="Times New Roman" w:hAnsi="Times New Roman"/>
          <w:b/>
          <w:i/>
          <w:sz w:val="20"/>
        </w:rPr>
        <w:t>Rekha Hemrajani, M.B.A.,</w:t>
      </w:r>
      <w:r>
        <w:rPr>
          <w:rFonts w:ascii="Times New Roman" w:hAnsi="Times New Roman"/>
          <w:sz w:val="20"/>
        </w:rPr>
        <w:t xml:space="preserve"> has served as a member of our board of directors since August 2021. Previously, Ms. Hemrajani served as Chief Executive Officer and a Director of Jiya Acquisition Corporation, a special purpose acquisition company, from its inception in August 2020 to November 2022. Ms. Hemrajani also served as President and Chief Executive Officer and a Director of Aravive, Inc., a clinical-stage biotechnology company, from January 2020 to April 2020. From March 2019 to September 2019, Ms. Hemrajani served as the Chief Operating Officer and Chief Financial Officer of Arcus Biosciences, Inc., a biotechnology company. From March 2016 to March 2019, she served as Chief Operating Officer of FLX Bio, Inc. (now RAPT Therapeutics, Inc.), a biotechnology company. From March 2015 to March 2016, Ms. Hemrajani served as Chief Financial Officer and Senior Vice President of Business and Financial Operations at 3-V Biosciences, Inc. (now Sagimet Biosciences, Inc.), a biotechnology company. From 2013 to March 2015, Ms. Hemrajani advised privately held companies on strategic corporate development and financing activities at Ravinia Consulting, a consulting firm she founded. Ms. Hemrajani currently serves on the board of directors for ALX Oncology Holdings Inc., a biotechnology company, since May 2020. From May 2019 to May 2021, she served on the board of directors at Adverum Biotechologies, Inc., a biopharmaceutical company. She holds a B.S. in Economics and Computer Science from the University of Michigan and an M.B.A. from the Kellogg Graduate School of Management at Northwestern University. We believe Ms. Hemrajani is qualified to serve on our board of directors due to her extensive executive and financial experience in the biopharmaceutical and biotechnology industries. </w:t>
      </w:r>
    </w:p>
    <w:p>
      <w:pPr>
        <w:pStyle w:val="TextBody"/>
        <w:bidi w:val="0"/>
        <w:spacing w:before="240" w:after="0"/>
        <w:jc w:val="both"/>
        <w:rPr>
          <w:rFonts w:ascii="Times New Roman" w:hAnsi="Times New Roman"/>
          <w:sz w:val="20"/>
        </w:rPr>
      </w:pPr>
      <w:r>
        <w:rPr>
          <w:rFonts w:ascii="Times New Roman" w:hAnsi="Times New Roman"/>
          <w:b/>
          <w:i/>
          <w:sz w:val="20"/>
        </w:rPr>
        <w:t>Vijay Pande, Ph.D.,</w:t>
      </w:r>
      <w:r>
        <w:rPr>
          <w:rFonts w:ascii="Times New Roman" w:hAnsi="Times New Roman"/>
          <w:sz w:val="20"/>
        </w:rPr>
        <w:t xml:space="preserve"> has served as a member of our board of directors since June 2017. Since September 2014, Dr. Pande has served in various roles of increasing responsibility at Andreessen Horowitz, a venture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fund, including most recently as a General Partner since September 2015. Dr. Pande co-founded Globavir Biosciences, Inc., an infectious disease company, in April 2014, where he continues to serve on the Scientific Advisory Board. Prior to Globavir Biosciences, Inc., Dr. Pande served at Stanford University between July 1999 and October 2015, including as the Henry Dreyfus Professor of Chemistry, Structural Biology and Computer Science and most recently as the Director, Program in Biophysics between September 2008 and October 2015. Dr. Pande has also served as a member of the board of directors of Nautilus Biotechnology, Inc., a biotechnology company, since May 2018, and currently serves on various private company boards. Dr. Pande holds a B.S. in Physics from Princeton University and a Ph.D. in Physics from the Massachusetts Institute of Technology. We believe Dr. Pande is qualified to serve on our board of directors because of his extensive scientific expertise, operational experience and his role in leadership positions.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Our executive officers are appointed by, and serve at the discretion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currently consists of eight members. Six of our directors are independent within the meaning of the independent director guidelines of Nasdaq Global Select Market (Nasdaq). Pursuant to our current certificate of incorporation and our amended and restated voting agreement, Dr. Garnier, Dr. Fortney, Dr. Morgen, Dr. Davidson, Mr. Enright, Dr. Healy, Ms. Hemrajani, and Dr. Pande have been designated to serve as members of our board of directors. The amended and restated voting agreement and the provisions of our current certificate of incorporation that govern the election and designation of our directors will terminate immediately prior to the completion of this offering, after which no contractual obligations will concern the election of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the terms of our restated certificate of incorporation and restated bylaws that will become effective immediately before the completion of this offering, our board of directors will be divided into three staggered classes of directors. At each annual meeting of our stockholders, a class of directors will be subject to re-election for a three-year term. As a result, only one class of directors will be elected at each annual meeting of our stockholders, with the other classes continuing for the remainder of their respective three-year terms.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w:t>
      </w:r>
    </w:p>
    <w:p>
      <w:pPr>
        <w:pStyle w:val="TextBody"/>
        <w:bidi w:val="0"/>
        <w:spacing w:before="240" w:after="0"/>
        <w:jc w:val="both"/>
        <w:rPr>
          <w:rFonts w:ascii="Times New Roman" w:hAnsi="Times New Roman"/>
          <w:sz w:val="20"/>
        </w:rPr>
      </w:pPr>
      <w:r>
        <w:rPr>
          <w:rFonts w:ascii="Times New Roman" w:hAnsi="Times New Roman"/>
          <w:sz w:val="20"/>
        </w:rPr>
        <w:t xml:space="preserve">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 directors will be Dr. Fortney, Dr. Morgen and Dr. Pande, and their terms will expire at the first annual meeting of our stockholders held following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 directors will be Dr. Healy, Mr. Enright and Ms. Hemrajani, and their terms will expire at the second annual meeting of our stockholders held following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III directors will be Dr. Davidson and Dr. Garnier, and their terms will expire at the third annual meeting of our stockholders held following the completion of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directors term continues until the election and qualification of his or her successor, or his or her earlier death, resignation or removal. Our restated certificate of incorporation and restated bylaws that will be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ProvisionsRestated Certificate of Incorporation and Restated Bylaw Provisions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have been approved to list our common stock on Nasdaq. 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240" w:after="0"/>
        <w:jc w:val="both"/>
        <w:rPr>
          <w:rFonts w:ascii="Times New Roman" w:hAnsi="Times New Roman"/>
          <w:sz w:val="20"/>
        </w:rPr>
      </w:pPr>
      <w:r>
        <w:rPr>
          <w:rFonts w:ascii="Times New Roman" w:hAnsi="Times New Roman"/>
          <w:sz w:val="20"/>
        </w:rPr>
        <w:t xml:space="preserve">Audit committee members must also satisfy the independence criteria set forth in Rule 10A-3 under the Securities Exchange Act of 1934, as amended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completion of this offering. Additionally, compensation committee members must not have a relationship with us that is material to the directors ability to be independent from management in connection with the duties of a compensation committee member.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for Drs. Fortney and Morgen, are independent directors as defined under the current Nasdaq listing standards and SEC rules and regulations.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as described in the section titled Certain Relationships and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Leadership Structure of the Board </w:t>
      </w:r>
    </w:p>
    <w:p>
      <w:pPr>
        <w:pStyle w:val="TextBody"/>
        <w:bidi w:val="0"/>
        <w:spacing w:before="120" w:after="0"/>
        <w:jc w:val="both"/>
        <w:rPr>
          <w:rFonts w:ascii="Times New Roman" w:hAnsi="Times New Roman"/>
          <w:sz w:val="20"/>
        </w:rPr>
      </w:pPr>
      <w:r>
        <w:rPr>
          <w:rFonts w:ascii="Times New Roman" w:hAnsi="Times New Roman"/>
          <w:sz w:val="20"/>
        </w:rPr>
        <w:t xml:space="preserve">Our corporate governance guidelines provide our board of directors with flexibility to combine or separate the positions of chair of the board of directors and Chief Executive Officer. Dr. Garnier currently serves as the chair of our board of directors and Dr. Fortney currently serves as our Chief Executive Officer. This structure allows our Chief Executive Officer to focus on our day-to-day business while our chair leads our board of directors in its fundamental role of providing advice to, and independent oversight of, management. We believe Dr. Garnier is especially qualified for this role based on his medical training and experience with building early-stage biotechnology and innovation-based companies for over twenty years. Further, our board of directors believes such separation is appropriate, as it enhances the accountability of the Chief Executive Officer to the board of directors and strengthens the independence of the board of directors from management. Any changes to the leadership structure of our board of directors, if made, will be promptly disclosed on the investor relations section of our website and in our proxy materials. Our board of directors, in its sole discretion, may seek input from our stockholders on the leadership structure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both"/>
        <w:rPr>
          <w:rFonts w:ascii="Times New Roman" w:hAnsi="Times New Roman"/>
          <w:sz w:val="20"/>
        </w:rPr>
      </w:pPr>
      <w:r>
        <w:rPr>
          <w:rFonts w:ascii="Times New Roman" w:hAnsi="Times New Roman"/>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 </w:t>
      </w:r>
    </w:p>
    <w:p>
      <w:pPr>
        <w:pStyle w:val="TextBody"/>
        <w:bidi w:val="0"/>
        <w:spacing w:before="360" w:after="0"/>
        <w:jc w:val="left"/>
        <w:rPr>
          <w:rFonts w:ascii="Times New Roman" w:hAnsi="Times New Roman"/>
          <w:b/>
          <w:sz w:val="20"/>
        </w:rPr>
      </w:pPr>
      <w:r>
        <w:rPr>
          <w:rFonts w:ascii="Times New Roman" w:hAnsi="Times New Roman"/>
          <w:b/>
          <w:sz w:val="20"/>
        </w:rPr>
        <w:t xml:space="preserve">Cybersecurity Risk Oversight </w:t>
      </w:r>
    </w:p>
    <w:p>
      <w:pPr>
        <w:pStyle w:val="TextBody"/>
        <w:bidi w:val="0"/>
        <w:spacing w:before="120" w:after="0"/>
        <w:jc w:val="both"/>
        <w:rPr>
          <w:rFonts w:ascii="Times New Roman" w:hAnsi="Times New Roman"/>
          <w:sz w:val="20"/>
        </w:rPr>
      </w:pPr>
      <w:r>
        <w:rPr>
          <w:rFonts w:ascii="Times New Roman" w:hAnsi="Times New Roman"/>
          <w:sz w:val="20"/>
        </w:rPr>
        <w:t xml:space="preserve">Securing the information of participants in our studies, medical professionals, employees, service providers, and other third parties is important to us.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our board of directors, our audit committee, and management. Our information technology team provides regular cybersecurity updates in the form of written reports and presentations to our audit committee. Additionally, we leverage industry standard frameworks to drive strategic direction and maturity improvement. We also engage third-party security experts for risk assessments and program enhancements and maintain information security risk insurance coverage.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an audit committee, a compensation committee and a nominating and governance committee, each of which has the composition and responsibilities described below as of the completion of this offering. In addition, from time to time, special committees may be established under the direction of our board of directors when necessary to address specific issues. Each of the below committees has a written charter approved by our board of directors. Upon completion of this offering, copies of each charter will be posted on the investor relations page of our website. Members that serve on these committees will serve until their resignation or until otherwise determined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is comprised of Ms. Hemrajni, Mr. Enright and Dr. Pande, with Ms. Hemrajani as the Chairperson of our audit committee. Our board of directors has determined that the composition of our audit committee meets the requirements for independence under the current Nasdaq listing standards and SEC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regulations, and that each member of our audit committee is financially literate. In addition, our board of directors has determined that Ms. Hemrajani is an audit committee financial expert as defined in Item 407(d)(5)(ii) of Regulation S-K promulgated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Our audit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selecting and hiring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preparation of the audit committee report to be included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oversight of our compliance with legal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assisting our board of directors with risk assessment and management, including cybersecurity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oversight of our accounting and financial reporting processes, including our financial statement audits and the integrity of our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related-person transactions.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is comprised of Dr. Davidson, Dr. Garnier and Dr. Healy, with Dr. Davidson as the Chairperson of our compensation committee. Our board of directors has determined that each member of our compensation committee is a non-employee director, as defined by Rule 16b-3 promulgated under the Exchange Act, and meets the requirements for independence under the current Nasdaq listing standards and SEC rules and regulations.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recommending, approving and reviewing executive officer compensation arrangements, plans, policies and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and recommending non-employee director compensation arrangements for determination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administering our cash-based and equity-based compensation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compliance with regulatory requirements associated with the compensation of directors, executive officers and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Governance Committee </w:t>
      </w:r>
    </w:p>
    <w:p>
      <w:pPr>
        <w:pStyle w:val="TextBody"/>
        <w:bidi w:val="0"/>
        <w:spacing w:before="240" w:after="0"/>
        <w:jc w:val="both"/>
        <w:rPr>
          <w:rFonts w:ascii="Times New Roman" w:hAnsi="Times New Roman"/>
          <w:sz w:val="20"/>
        </w:rPr>
      </w:pPr>
      <w:r>
        <w:rPr>
          <w:rFonts w:ascii="Times New Roman" w:hAnsi="Times New Roman"/>
          <w:sz w:val="20"/>
        </w:rPr>
        <w:t xml:space="preserve">Our nominating and governance committee is comprised of Dr. Healy, Dr. Davidson, Dr. Garnier and Ms. Hemrajani with as the Chairperson of our nominating and governance committee. Our board of directors has determined that each member of our nominating and governance committee meets the requirements for independence under the current Nasdaq listing standards. </w:t>
      </w:r>
    </w:p>
    <w:p>
      <w:pPr>
        <w:pStyle w:val="TextBody"/>
        <w:bidi w:val="0"/>
        <w:spacing w:before="240" w:after="0"/>
        <w:jc w:val="both"/>
        <w:rPr>
          <w:rFonts w:ascii="Times New Roman" w:hAnsi="Times New Roman"/>
          <w:sz w:val="20"/>
        </w:rPr>
      </w:pPr>
      <w:r>
        <w:rPr>
          <w:rFonts w:ascii="Times New Roman" w:hAnsi="Times New Roman"/>
          <w:sz w:val="20"/>
        </w:rPr>
        <w:t xml:space="preserve">Our nominating and governance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identifying, considering and recommending candidates for membership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the process of evaluating the performance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advising our board of directors on environmental, social and other corporate governance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None of the members of our compensation committee 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of its executive officers serving on our board of directors or compensation committee. Prior to establishing the compensation committee, our full board of directors made decisions relating to the compensation of our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both"/>
        <w:rPr>
          <w:rFonts w:ascii="Times New Roman" w:hAnsi="Times New Roman"/>
          <w:sz w:val="20"/>
        </w:rPr>
      </w:pPr>
      <w:r>
        <w:rPr>
          <w:rFonts w:ascii="Times New Roman" w:hAnsi="Times New Roman"/>
          <w:sz w:val="20"/>
        </w:rPr>
        <w:t xml:space="preserve">Prior to the completion of this offering, our board of directors will adopt a code of business conduct and ethics that applies to all of our employees, officers and directors, including our Chief Executive Officer and President and other executive and senior officers. The full text of our code of business conduct and ethics will be posted on the investor relations page of our website. The reference to our website address in this prospectus does not include or incorporate by reference the information on our website into this prospectus. We intend to disclose future amendments to certain provisions of our code of business conduct and ethics, or waivers of these provisions, on our website or in public filings to the extent required by the applicable rules.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Our employee directors have not received any compensation or reimbursement of any expenses (other than customary expenses in connection with the attendance of meetings of our board of directors) for their services as directors for the year ended December 31, 2023.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information concerning the compensation paid to certain non-employee directors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4"/>
        <w:gridCol w:w="346"/>
        <w:gridCol w:w="105"/>
        <w:gridCol w:w="1245"/>
        <w:gridCol w:w="60"/>
        <w:gridCol w:w="285"/>
        <w:gridCol w:w="1006"/>
        <w:gridCol w:w="377"/>
        <w:gridCol w:w="111"/>
        <w:gridCol w:w="408"/>
        <w:gridCol w:w="72"/>
        <w:gridCol w:w="871"/>
        <w:gridCol w:w="65"/>
      </w:tblGrid>
      <w:tr>
        <w:trPr/>
        <w:tc>
          <w:tcPr>
            <w:tcW w:w="5254"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5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46"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w:t>
              <w:br/>
              <w:t>or Paid in</w:t>
              <w:br/>
              <w:t>Cash ($)(1)</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 ($)(2)</w:t>
            </w:r>
          </w:p>
        </w:tc>
        <w:tc>
          <w:tcPr>
            <w:tcW w:w="11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52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Jean-Pierre Garnier, Ph.D.(3)</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right"/>
              <w:rPr/>
            </w:pPr>
            <w:r>
              <w:rPr/>
              <w:t></w:t>
            </w:r>
          </w:p>
        </w:tc>
        <w:tc>
          <w:tcPr>
            <w:tcW w:w="11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254" w:type="dxa"/>
            <w:tcBorders/>
          </w:tcPr>
          <w:p>
            <w:pPr>
              <w:pStyle w:val="TableContents"/>
              <w:bidi w:val="0"/>
              <w:spacing w:before="0" w:after="0"/>
              <w:jc w:val="left"/>
              <w:rPr>
                <w:rFonts w:ascii="Times New Roman" w:hAnsi="Times New Roman"/>
                <w:sz w:val="20"/>
              </w:rPr>
            </w:pPr>
            <w:r>
              <w:rPr>
                <w:rFonts w:ascii="Times New Roman" w:hAnsi="Times New Roman"/>
                <w:sz w:val="20"/>
              </w:rPr>
              <w:t>Jason Coloma, Ph.D.(4)</w:t>
            </w:r>
          </w:p>
        </w:tc>
        <w:tc>
          <w:tcPr>
            <w:tcW w:w="3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40,000</w:t>
            </w:r>
          </w:p>
        </w:tc>
        <w:tc>
          <w:tcPr>
            <w:tcW w:w="65" w:type="dxa"/>
            <w:tcBorders/>
            <w:vAlign w:val="bottom"/>
          </w:tcPr>
          <w:p>
            <w:pPr>
              <w:pStyle w:val="TableContents"/>
              <w:bidi w:val="0"/>
              <w:spacing w:before="0" w:after="283"/>
              <w:jc w:val="left"/>
              <w:rPr/>
            </w:pPr>
            <w:r>
              <w:rPr/>
              <w:t> </w:t>
            </w:r>
          </w:p>
        </w:tc>
      </w:tr>
      <w:tr>
        <w:trPr/>
        <w:tc>
          <w:tcPr>
            <w:tcW w:w="52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Davidson, M.D.(5)</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right"/>
              <w:rPr/>
            </w:pPr>
            <w:r>
              <w:rPr/>
              <w:t></w:t>
            </w:r>
          </w:p>
        </w:tc>
        <w:tc>
          <w:tcPr>
            <w:tcW w:w="11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254" w:type="dxa"/>
            <w:tcBorders/>
          </w:tcPr>
          <w:p>
            <w:pPr>
              <w:pStyle w:val="TableContents"/>
              <w:bidi w:val="0"/>
              <w:spacing w:before="0" w:after="0"/>
              <w:jc w:val="left"/>
              <w:rPr>
                <w:rFonts w:ascii="Times New Roman" w:hAnsi="Times New Roman"/>
                <w:sz w:val="20"/>
              </w:rPr>
            </w:pPr>
            <w:r>
              <w:rPr>
                <w:rFonts w:ascii="Times New Roman" w:hAnsi="Times New Roman"/>
                <w:sz w:val="20"/>
              </w:rPr>
              <w:t>James Healy, M.D., Ph.D.</w:t>
            </w:r>
          </w:p>
        </w:tc>
        <w:tc>
          <w:tcPr>
            <w:tcW w:w="3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right"/>
              <w:rPr/>
            </w:pPr>
            <w:r>
              <w:rPr/>
              <w:t></w:t>
            </w:r>
          </w:p>
        </w:tc>
        <w:tc>
          <w:tcPr>
            <w:tcW w:w="11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52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Patrick Enright</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right"/>
              <w:rPr/>
            </w:pPr>
            <w:r>
              <w:rPr/>
              <w:t></w:t>
            </w:r>
          </w:p>
        </w:tc>
        <w:tc>
          <w:tcPr>
            <w:tcW w:w="11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254" w:type="dxa"/>
            <w:tcBorders/>
          </w:tcPr>
          <w:p>
            <w:pPr>
              <w:pStyle w:val="TableContents"/>
              <w:bidi w:val="0"/>
              <w:spacing w:before="0" w:after="0"/>
              <w:jc w:val="left"/>
              <w:rPr>
                <w:rFonts w:ascii="Times New Roman" w:hAnsi="Times New Roman"/>
                <w:sz w:val="20"/>
              </w:rPr>
            </w:pPr>
            <w:r>
              <w:rPr>
                <w:rFonts w:ascii="Times New Roman" w:hAnsi="Times New Roman"/>
                <w:sz w:val="20"/>
              </w:rPr>
              <w:t>Rekha Hemrajani</w:t>
            </w:r>
          </w:p>
        </w:tc>
        <w:tc>
          <w:tcPr>
            <w:tcW w:w="3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40,000</w:t>
            </w:r>
          </w:p>
        </w:tc>
        <w:tc>
          <w:tcPr>
            <w:tcW w:w="65" w:type="dxa"/>
            <w:tcBorders/>
            <w:vAlign w:val="bottom"/>
          </w:tcPr>
          <w:p>
            <w:pPr>
              <w:pStyle w:val="TableContents"/>
              <w:bidi w:val="0"/>
              <w:spacing w:before="0" w:after="283"/>
              <w:jc w:val="left"/>
              <w:rPr/>
            </w:pPr>
            <w:r>
              <w:rPr/>
              <w:t> </w:t>
            </w:r>
          </w:p>
        </w:tc>
      </w:tr>
      <w:tr>
        <w:trPr/>
        <w:tc>
          <w:tcPr>
            <w:tcW w:w="52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Vijay Pande, Ph.D.</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right"/>
              <w:rPr/>
            </w:pPr>
            <w:r>
              <w:rPr/>
              <w:t></w:t>
            </w:r>
          </w:p>
        </w:tc>
        <w:tc>
          <w:tcPr>
            <w:tcW w:w="111"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Coloma and. Ms. Hemrajani received a cash fee of $40,000 annually for their service on our board of directors for the year ended December 31,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As of December 31, 2023, Dr. Coloma held an aggregate of 127,600 options to purchase common stock and Ms. Hemrajani held an aggregate of 156,961 options to purchase common stock. None of our other non-employee directors held equity as of December 31,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Garnier joined our board of directors on August 20,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Coloma resigned from our board of directors on August 20,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Davidson joined our board of directors on April 9,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we did not have a formal policy to provide any cash or equity compensation to our non-employee directors for their service as directors but Dr. Davidson and Ms. Hemrajani receive a cash fee of $40,000 annually for their service on our board of directors. Dr. Garnier receives a cash fee of $80,000 annually for his service as chair of our board of directors. Dr. Coloma also received a cash fee of $40,000 annually for his service on our board of directors. In connection with this offering, our board of directors approved a non-employee director compensation policy, which will take effect following the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Beginning after this offering, our non-employee directors will receive annual cash compensation of $40,000 for service on our board of directors and additional cash compensation for the chairperson and committee members as set forth below. All cash payments will be made quarterly in arrears, and pro-rated for any partial quarters of service.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Board Chair $40,000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Audit Committee Chair: $15,000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Audit Committee Member (Non-Chair): $7,500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Compensation Committee Chair: $12,000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Compensation Committee member (Non-Chair): $6,000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Nominating and Corporate Governance Committee Chair: $10,000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Nominating and Corporate Governance Committee(Non-Chair): $5,000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each non-employee director who is elected or appointed to our board of directors after completion of this offering will be granted an option to purchase 30,000 shares of our common stock upon the directors initial appointment to our board of directors, referred to as the Initial Grant. The Initial Grant will vest in 3 equal installments on each annual anniversary of the date of grant, such that the Initial Grant will become fully vested and exercisable on the three-year anniversary of the date of grant, subject to the directors continued service through each applicable vesting date. </w:t>
      </w:r>
    </w:p>
    <w:p>
      <w:pPr>
        <w:pStyle w:val="TextBody"/>
        <w:bidi w:val="0"/>
        <w:spacing w:before="240" w:after="0"/>
        <w:jc w:val="both"/>
        <w:rPr>
          <w:rFonts w:ascii="Times New Roman" w:hAnsi="Times New Roman"/>
          <w:sz w:val="20"/>
        </w:rPr>
      </w:pPr>
      <w:r>
        <w:rPr>
          <w:rFonts w:ascii="Times New Roman" w:hAnsi="Times New Roman"/>
          <w:sz w:val="20"/>
        </w:rPr>
        <w:t xml:space="preserve">Each non-employee director who is serving on our board of directors immediately prior to, and will continue to serve on our board of directors following, our annual meeting of stockholders, will be granted an option to purchase 15,000 shares of our common stock on the date of such annual meeting of stockholders, referred to as the Annual Grant. Notwithstanding the foregoing, a director who is elected or appointed for the first time after January 1 shall not be eligible to receive such Annual Grant on the annual meeting of stockholders of the year of his or her election or appointment as a director. Each Annual Grant will vest on the anniversary of the date of grant or, if earlier, the next annual meeting of our stockholders, subject to the directors continued service through the vesting date. </w:t>
      </w:r>
    </w:p>
    <w:p>
      <w:pPr>
        <w:pStyle w:val="TextBody"/>
        <w:bidi w:val="0"/>
        <w:spacing w:before="240" w:after="0"/>
        <w:jc w:val="both"/>
        <w:rPr>
          <w:rFonts w:ascii="Times New Roman" w:hAnsi="Times New Roman"/>
          <w:sz w:val="20"/>
        </w:rPr>
      </w:pPr>
      <w:r>
        <w:rPr>
          <w:rFonts w:ascii="Times New Roman" w:hAnsi="Times New Roman"/>
          <w:sz w:val="20"/>
        </w:rPr>
        <w:t xml:space="preserve">Each non-employee director, other than Dr. Pande, who is serving on our board of directors immediately prior to the date of this offering was granted an option to purchase 15,000 shares of our common stock at the public offering price on the date on which this registration statement on Form S-1 in connection with this offering was declared effective, referred to as the IPO Award. Each IPO Award will vest on the earlier of (i) the date of the next annual meeting of our stockholders and (ii) the date that is one year following the date of grant of the IPO Award, in each case so long as the director continues to provide service through the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35745_12"/>
      <w:bookmarkEnd w:id="14"/>
      <w:r>
        <w:rPr>
          <w:rFonts w:ascii="Times New Roman" w:hAnsi="Times New Roman"/>
          <w:b/>
          <w:sz w:val="20"/>
        </w:rPr>
        <w:t xml:space="preserve">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tables and accompanying narrative disclosure set forth information about the compensation earned by our named executive officers during the year ended December 31, 2023. Our named executive officers, who are our principal executive officer and the two most highly compensated executive officers (other than our principal executive officer) serving as executive officers as of December 31, 2023,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Kristen Fortney, Ph.D., </w:t>
            </w:r>
            <w:r>
              <w:rPr>
                <w:rFonts w:ascii="Times New Roman" w:hAnsi="Times New Roman"/>
                <w:i/>
                <w:sz w:val="20"/>
              </w:rPr>
              <w:t>Chief Executive Officer and President;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Eric Morgen, M.D., </w:t>
            </w:r>
            <w:r>
              <w:rPr>
                <w:rFonts w:ascii="Times New Roman" w:hAnsi="Times New Roman"/>
                <w:i/>
                <w:sz w:val="20"/>
              </w:rPr>
              <w:t>Chief Operating Officer;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Paul Rubin, M.D., </w:t>
            </w:r>
            <w:r>
              <w:rPr>
                <w:rFonts w:ascii="Times New Roman" w:hAnsi="Times New Roman"/>
                <w:i/>
                <w:sz w:val="20"/>
              </w:rPr>
              <w:t>Chief Medical Officer.</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summary information regarding the compensation earned by our named executive officers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5"/>
        <w:gridCol w:w="162"/>
        <w:gridCol w:w="60"/>
        <w:gridCol w:w="812"/>
        <w:gridCol w:w="60"/>
        <w:gridCol w:w="162"/>
        <w:gridCol w:w="109"/>
        <w:gridCol w:w="1503"/>
        <w:gridCol w:w="60"/>
        <w:gridCol w:w="162"/>
        <w:gridCol w:w="63"/>
        <w:gridCol w:w="868"/>
        <w:gridCol w:w="60"/>
        <w:gridCol w:w="162"/>
        <w:gridCol w:w="120"/>
        <w:gridCol w:w="1404"/>
        <w:gridCol w:w="350"/>
        <w:gridCol w:w="105"/>
        <w:gridCol w:w="60"/>
        <w:gridCol w:w="1000"/>
        <w:gridCol w:w="68"/>
      </w:tblGrid>
      <w:tr>
        <w:trPr/>
        <w:tc>
          <w:tcPr>
            <w:tcW w:w="28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62"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pPr>
            <w:r>
              <w:rPr>
                <w:b/>
              </w:rPr>
              <w:t>Salary</w:t>
            </w:r>
            <w:r>
              <w:rPr/>
              <w:br/>
            </w:r>
            <w:r>
              <w:rPr>
                <w:b/>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r>
            <w:r>
              <w:rPr/>
              <w:br/>
            </w:r>
            <w:r>
              <w:rPr>
                <w:b/>
              </w:rPr>
              <w:t>Incentive Plan</w:t>
            </w:r>
            <w:r>
              <w:rPr/>
              <w:br/>
            </w:r>
            <w:r>
              <w:rPr>
                <w:b/>
              </w:rPr>
              <w:t>Compensation(1)</w:t>
            </w:r>
            <w:r>
              <w:rPr/>
              <w:br/>
            </w:r>
            <w:r>
              <w:rPr>
                <w:b/>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Awards(1)</w:t>
            </w:r>
            <w:r>
              <w:rPr/>
              <w:br/>
            </w:r>
            <w:r>
              <w:rPr>
                <w:b/>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br/>
              <w:t>Compensation</w:t>
            </w:r>
            <w:r>
              <w:rPr/>
              <w:br/>
            </w:r>
            <w:r>
              <w:rPr>
                <w:b/>
              </w:rPr>
              <w:t>($)</w:t>
            </w:r>
          </w:p>
        </w:tc>
        <w:tc>
          <w:tcPr>
            <w:tcW w:w="35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8"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Kristen Fortney, Ph.D.</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493,271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246,635</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626,169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16,645</w:t>
            </w:r>
          </w:p>
        </w:tc>
        <w:tc>
          <w:tcPr>
            <w:tcW w:w="350" w:type="dxa"/>
            <w:tcBorders/>
            <w:shd w:fill="CCEEFF" w:val="clear"/>
            <w:vAlign w:val="bottom"/>
          </w:tcPr>
          <w:p>
            <w:pPr>
              <w:pStyle w:val="TableContents"/>
              <w:bidi w:val="0"/>
              <w:spacing w:before="0" w:after="283"/>
              <w:jc w:val="left"/>
              <w:rPr/>
            </w:pPr>
            <w:r>
              <w:rPr/>
              <w:t>(2)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1,382,720</w:t>
            </w:r>
          </w:p>
        </w:tc>
        <w:tc>
          <w:tcPr>
            <w:tcW w:w="68" w:type="dxa"/>
            <w:tcBorders/>
            <w:shd w:fill="CCEEFF" w:val="clear"/>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Chief Executive Officer and President</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5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40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18"/>
              </w:rPr>
            </w:pPr>
            <w:r>
              <w:rPr>
                <w:rFonts w:ascii="Times New Roman" w:hAnsi="Times New Roman"/>
                <w:sz w:val="18"/>
              </w:rPr>
              <w:t>Eric Morgen, M.D.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435,686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190,613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232,099</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4" w:type="dxa"/>
            <w:tcBorders/>
            <w:vAlign w:val="bottom"/>
          </w:tcPr>
          <w:p>
            <w:pPr>
              <w:pStyle w:val="TableContents"/>
              <w:bidi w:val="0"/>
              <w:spacing w:before="0" w:after="283"/>
              <w:jc w:val="right"/>
              <w:rPr/>
            </w:pPr>
            <w:r>
              <w:rPr/>
              <w:t>14,400</w:t>
            </w:r>
          </w:p>
        </w:tc>
        <w:tc>
          <w:tcPr>
            <w:tcW w:w="350" w:type="dxa"/>
            <w:tcBorders/>
            <w:vAlign w:val="bottom"/>
          </w:tcPr>
          <w:p>
            <w:pPr>
              <w:pStyle w:val="TableContents"/>
              <w:bidi w:val="0"/>
              <w:spacing w:before="0" w:after="283"/>
              <w:jc w:val="left"/>
              <w:rPr/>
            </w:pPr>
            <w:r>
              <w:rPr/>
              <w:t>(3)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872,798</w:t>
            </w:r>
          </w:p>
        </w:tc>
        <w:tc>
          <w:tcPr>
            <w:tcW w:w="68" w:type="dxa"/>
            <w:tcBorders/>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18"/>
              </w:rPr>
            </w:pPr>
            <w:r>
              <w:rPr>
                <w:rFonts w:ascii="Times New Roman" w:hAnsi="Times New Roman"/>
                <w:sz w:val="18"/>
              </w:rPr>
              <w:t>Chief Operating Officer</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5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8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40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Paul Rubin, M.D.</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468,939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205,161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148,262</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4" w:type="dxa"/>
            <w:tcBorders/>
            <w:shd w:fill="CCEEFF" w:val="clear"/>
            <w:vAlign w:val="bottom"/>
          </w:tcPr>
          <w:p>
            <w:pPr>
              <w:pStyle w:val="TableContents"/>
              <w:bidi w:val="0"/>
              <w:spacing w:before="0" w:after="283"/>
              <w:jc w:val="right"/>
              <w:rPr/>
            </w:pPr>
            <w:r>
              <w:rPr/>
              <w:t>18,463</w:t>
            </w:r>
          </w:p>
        </w:tc>
        <w:tc>
          <w:tcPr>
            <w:tcW w:w="350" w:type="dxa"/>
            <w:tcBorders/>
            <w:shd w:fill="CCEEFF" w:val="clear"/>
            <w:vAlign w:val="bottom"/>
          </w:tcPr>
          <w:p>
            <w:pPr>
              <w:pStyle w:val="TableContents"/>
              <w:bidi w:val="0"/>
              <w:spacing w:before="0" w:after="283"/>
              <w:jc w:val="left"/>
              <w:rPr/>
            </w:pPr>
            <w:r>
              <w:rPr/>
              <w:t>(4)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840,825</w:t>
            </w:r>
          </w:p>
        </w:tc>
        <w:tc>
          <w:tcPr>
            <w:tcW w:w="68" w:type="dxa"/>
            <w:tcBorders/>
            <w:shd w:fill="CCEEFF" w:val="clear"/>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Chief Medical Officer</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5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8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40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For additional information regarding the non-equity incentive plan compensation, see the section titled Annual performance-based bonuses. The amounts reported in this column represent the aggregate grant date fair value of the awards granted under our 2015 Plan to our officers during the year ended December 31, 2023 as computed in accordance with FASB ASC Topic 718. The assumptions used in calculating the grant date fair value of the awards reported in the Option Awards column are set forth in Note 7 to our financial statements included elsewhere in this prospectus. Note that the amounts reported in this column reflect the aggregate accounting cost for these awards, and do not necessarily correspond to the actual economic value that may be received by the executive from the awards.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a $15,445 matching contribution under our 401(k) plan and a $1,200 cell phone allowance.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a $13,200 matching contribution under our 401(k) plan and a $1,200 cell phone allowance.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a $17,263 matching contribution under our 401(k) plan and a $1,200 cell phone allowance.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2023 Base Salaries </w:t>
      </w:r>
    </w:p>
    <w:p>
      <w:pPr>
        <w:pStyle w:val="TextBody"/>
        <w:bidi w:val="0"/>
        <w:spacing w:before="120" w:after="0"/>
        <w:jc w:val="both"/>
        <w:rPr>
          <w:rFonts w:ascii="Times New Roman" w:hAnsi="Times New Roman"/>
          <w:sz w:val="20"/>
        </w:rPr>
      </w:pPr>
      <w:r>
        <w:rPr>
          <w:rFonts w:ascii="Times New Roman" w:hAnsi="Times New Roman"/>
          <w:sz w:val="20"/>
        </w:rPr>
        <w:t xml:space="preserve">Base salary is the only fixed component of our named executive officers total cash compensation and provides competitive and stable pay to attract and retain our executives. We make annual salary decisions by taking into account competitive data, the skills and experience that each executive brings to us, and the performance contributions of each executive. The base salaries paid to our named executive officers for the year ended December 31, 2023 are included in the Summary Compensation Table above.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in conjunction with the compensation committee, set the compensation for each named executive officer, and the compensation is subject to periodic review and adjustment. Effective March 1, 2023, our board of directors approved the following salary increases for (i) Dr. Fortneys salary from $481,240 to $495,677, (ii) Dr. Morgens salary from $425,060 to $437,811 and (iii) Dr. Rubins salary from $457,501 to $471,226.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Performance-Based Bonuses </w:t>
      </w:r>
    </w:p>
    <w:p>
      <w:pPr>
        <w:pStyle w:val="TextBody"/>
        <w:bidi w:val="0"/>
        <w:spacing w:before="120" w:after="0"/>
        <w:jc w:val="both"/>
        <w:rPr>
          <w:rFonts w:ascii="Times New Roman" w:hAnsi="Times New Roman"/>
          <w:sz w:val="20"/>
        </w:rPr>
      </w:pPr>
      <w:r>
        <w:rPr>
          <w:rFonts w:ascii="Times New Roman" w:hAnsi="Times New Roman"/>
          <w:sz w:val="20"/>
        </w:rPr>
        <w:t xml:space="preserve">A portion of the target compensation for each named executive officer is in the form of an annual cash bonus, which is based on the achievement of corporate and individual performance, as applicable. For the 2023 bonuses, the corporate performance objectives included certain development goals and milestones, including the advancement of our azelaprag program, as well as business development activities and budgetary goals. The 2023 target bonus amounts, expressed as a percentage of annual base salary, for Dr. Fortney, Dr. Morgen,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Dr. Rubin were 40%, 35% and 35%, respectively. In March 2024, our board of directors met to review performance against the 2023 bonus goals and approved cash bonuses for the named executive officers in the amounts set forth in the Non-Equity Incentive Plan Compensation column of the Summary Compensation Table above.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Year-End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the outstanding equity awards for each of our named executive officers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3"/>
        <w:gridCol w:w="204"/>
        <w:gridCol w:w="60"/>
        <w:gridCol w:w="639"/>
        <w:gridCol w:w="472"/>
        <w:gridCol w:w="150"/>
        <w:gridCol w:w="88"/>
        <w:gridCol w:w="1183"/>
        <w:gridCol w:w="60"/>
        <w:gridCol w:w="204"/>
        <w:gridCol w:w="117"/>
        <w:gridCol w:w="1344"/>
        <w:gridCol w:w="60"/>
        <w:gridCol w:w="204"/>
        <w:gridCol w:w="158"/>
        <w:gridCol w:w="1483"/>
        <w:gridCol w:w="60"/>
        <w:gridCol w:w="204"/>
        <w:gridCol w:w="176"/>
        <w:gridCol w:w="1479"/>
        <w:gridCol w:w="67"/>
      </w:tblGrid>
      <w:tr>
        <w:trPr/>
        <w:tc>
          <w:tcPr>
            <w:tcW w:w="179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79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14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 xml:space="preserve">Option Award(1) </w:t>
            </w:r>
          </w:p>
        </w:tc>
        <w:tc>
          <w:tcPr>
            <w:tcW w:w="67" w:type="dxa"/>
            <w:tcBorders/>
            <w:vAlign w:val="bottom"/>
          </w:tcPr>
          <w:p>
            <w:pPr>
              <w:pStyle w:val="TableContents"/>
              <w:bidi w:val="0"/>
              <w:spacing w:before="0" w:after="283"/>
              <w:jc w:val="left"/>
              <w:rPr/>
            </w:pPr>
            <w:r>
              <w:rPr/>
              <w:t> </w:t>
            </w:r>
          </w:p>
        </w:tc>
      </w:tr>
      <w:tr>
        <w:trPr/>
        <w:tc>
          <w:tcPr>
            <w:tcW w:w="17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4"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47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Exercisable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Unexercisable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Exercise</w:t>
              <w:br/>
              <w:t>Price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 Date</w:t>
            </w:r>
          </w:p>
        </w:tc>
        <w:tc>
          <w:tcPr>
            <w:tcW w:w="67" w:type="dxa"/>
            <w:tcBorders/>
            <w:vAlign w:val="bottom"/>
          </w:tcPr>
          <w:p>
            <w:pPr>
              <w:pStyle w:val="TableContents"/>
              <w:bidi w:val="0"/>
              <w:spacing w:before="0" w:after="283"/>
              <w:jc w:val="left"/>
              <w:rPr/>
            </w:pPr>
            <w:r>
              <w:rPr/>
              <w:t> </w:t>
            </w:r>
          </w:p>
        </w:tc>
      </w:tr>
      <w:tr>
        <w:trPr/>
        <w:tc>
          <w:tcPr>
            <w:tcW w:w="1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Kristen Fortney Ph.D.</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47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Executive Officer and President</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04/30/2021</w:t>
            </w:r>
          </w:p>
        </w:tc>
        <w:tc>
          <w:tcPr>
            <w:tcW w:w="472" w:type="dxa"/>
            <w:tcBorders/>
            <w:shd w:fill="CCEEFF" w:val="clear"/>
            <w:vAlign w:val="bottom"/>
          </w:tcPr>
          <w:p>
            <w:pPr>
              <w:pStyle w:val="TableContents"/>
              <w:bidi w:val="0"/>
              <w:spacing w:before="0" w:after="283"/>
              <w:jc w:val="left"/>
              <w:rPr/>
            </w:pPr>
            <w:r>
              <w:rPr/>
              <w:t>(2) </w:t>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182,785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60,928</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10.27</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04/29/2031</w:t>
            </w:r>
          </w:p>
        </w:tc>
        <w:tc>
          <w:tcPr>
            <w:tcW w:w="67" w:type="dxa"/>
            <w:tcBorders/>
            <w:shd w:fill="CCEEFF" w:val="clear"/>
            <w:vAlign w:val="bottom"/>
          </w:tcPr>
          <w:p>
            <w:pPr>
              <w:pStyle w:val="TableContents"/>
              <w:bidi w:val="0"/>
              <w:spacing w:before="0" w:after="283"/>
              <w:jc w:val="left"/>
              <w:rPr/>
            </w:pPr>
            <w:r>
              <w:rPr/>
              <w:t> </w:t>
            </w:r>
          </w:p>
        </w:tc>
      </w:tr>
      <w:tr>
        <w:trPr/>
        <w:tc>
          <w:tcPr>
            <w:tcW w:w="1793"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05/29/2022</w:t>
            </w:r>
          </w:p>
        </w:tc>
        <w:tc>
          <w:tcPr>
            <w:tcW w:w="472" w:type="dxa"/>
            <w:tcBorders/>
            <w:shd w:fill="CCEEFF" w:val="clear"/>
            <w:vAlign w:val="bottom"/>
          </w:tcPr>
          <w:p>
            <w:pPr>
              <w:pStyle w:val="TableContents"/>
              <w:bidi w:val="0"/>
              <w:spacing w:before="0" w:after="283"/>
              <w:jc w:val="left"/>
              <w:rPr/>
            </w:pPr>
            <w:r>
              <w:rPr/>
              <w:t>(3) </w:t>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50,596</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65,053</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7.23</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05/28/2027</w:t>
            </w:r>
          </w:p>
        </w:tc>
        <w:tc>
          <w:tcPr>
            <w:tcW w:w="67" w:type="dxa"/>
            <w:tcBorders/>
            <w:shd w:fill="CCEEFF" w:val="clear"/>
            <w:vAlign w:val="bottom"/>
          </w:tcPr>
          <w:p>
            <w:pPr>
              <w:pStyle w:val="TableContents"/>
              <w:bidi w:val="0"/>
              <w:spacing w:before="0" w:after="283"/>
              <w:jc w:val="left"/>
              <w:rPr/>
            </w:pPr>
            <w:r>
              <w:rPr/>
              <w:t> </w:t>
            </w:r>
          </w:p>
        </w:tc>
      </w:tr>
      <w:tr>
        <w:trPr/>
        <w:tc>
          <w:tcPr>
            <w:tcW w:w="1793"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03/16/2023</w:t>
            </w:r>
          </w:p>
        </w:tc>
        <w:tc>
          <w:tcPr>
            <w:tcW w:w="472" w:type="dxa"/>
            <w:tcBorders/>
            <w:shd w:fill="CCEEFF" w:val="clear"/>
            <w:vAlign w:val="bottom"/>
          </w:tcPr>
          <w:p>
            <w:pPr>
              <w:pStyle w:val="TableContents"/>
              <w:bidi w:val="0"/>
              <w:spacing w:before="0" w:after="283"/>
              <w:jc w:val="left"/>
              <w:rPr/>
            </w:pPr>
            <w:r>
              <w:rPr/>
              <w:t>(4) </w:t>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21,684</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93,965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10.85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03/15/2033</w:t>
            </w:r>
          </w:p>
        </w:tc>
        <w:tc>
          <w:tcPr>
            <w:tcW w:w="67" w:type="dxa"/>
            <w:tcBorders/>
            <w:shd w:fill="CCEEFF" w:val="clear"/>
            <w:vAlign w:val="bottom"/>
          </w:tcPr>
          <w:p>
            <w:pPr>
              <w:pStyle w:val="TableContents"/>
              <w:bidi w:val="0"/>
              <w:spacing w:before="0" w:after="283"/>
              <w:jc w:val="left"/>
              <w:rPr/>
            </w:pPr>
            <w:r>
              <w:rPr/>
              <w:t> </w:t>
            </w:r>
          </w:p>
        </w:tc>
      </w:tr>
      <w:tr>
        <w:trPr/>
        <w:tc>
          <w:tcPr>
            <w:tcW w:w="1793" w:type="dxa"/>
            <w:tcBorders/>
          </w:tcPr>
          <w:p>
            <w:pPr>
              <w:pStyle w:val="TableContents"/>
              <w:bidi w:val="0"/>
              <w:spacing w:before="0" w:after="0"/>
              <w:jc w:val="left"/>
              <w:rPr>
                <w:rFonts w:ascii="Times New Roman" w:hAnsi="Times New Roman"/>
                <w:sz w:val="20"/>
              </w:rPr>
            </w:pPr>
            <w:r>
              <w:rPr>
                <w:rFonts w:ascii="Times New Roman" w:hAnsi="Times New Roman"/>
                <w:sz w:val="20"/>
              </w:rPr>
              <w:t>Eric Morgen, M.D.</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13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14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47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793" w:type="dxa"/>
            <w:tcBorders/>
          </w:tcPr>
          <w:p>
            <w:pPr>
              <w:pStyle w:val="TableContents"/>
              <w:bidi w:val="0"/>
              <w:spacing w:before="0" w:after="0"/>
              <w:jc w:val="left"/>
              <w:rPr>
                <w:rFonts w:ascii="Times New Roman" w:hAnsi="Times New Roman"/>
                <w:sz w:val="20"/>
              </w:rPr>
            </w:pPr>
            <w:r>
              <w:rPr>
                <w:rFonts w:ascii="Times New Roman" w:hAnsi="Times New Roman"/>
                <w:sz w:val="20"/>
              </w:rPr>
              <w:t>Chief Operating Officer</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09/17/2018</w:t>
            </w:r>
          </w:p>
        </w:tc>
        <w:tc>
          <w:tcPr>
            <w:tcW w:w="472" w:type="dxa"/>
            <w:tcBorders/>
            <w:vAlign w:val="bottom"/>
          </w:tcPr>
          <w:p>
            <w:pPr>
              <w:pStyle w:val="TableContents"/>
              <w:bidi w:val="0"/>
              <w:spacing w:before="0" w:after="283"/>
              <w:jc w:val="left"/>
              <w:rPr/>
            </w:pPr>
            <w:r>
              <w:rPr/>
              <w:t>(5) </w:t>
            </w:r>
          </w:p>
        </w:tc>
        <w:tc>
          <w:tcPr>
            <w:tcW w:w="15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79,399</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09/16/2028</w:t>
            </w:r>
          </w:p>
        </w:tc>
        <w:tc>
          <w:tcPr>
            <w:tcW w:w="67" w:type="dxa"/>
            <w:tcBorders/>
            <w:vAlign w:val="bottom"/>
          </w:tcPr>
          <w:p>
            <w:pPr>
              <w:pStyle w:val="TableContents"/>
              <w:bidi w:val="0"/>
              <w:spacing w:before="0" w:after="283"/>
              <w:jc w:val="left"/>
              <w:rPr/>
            </w:pPr>
            <w:r>
              <w:rPr/>
              <w:t> </w:t>
            </w:r>
          </w:p>
        </w:tc>
      </w:tr>
      <w:tr>
        <w:trPr/>
        <w:tc>
          <w:tcPr>
            <w:tcW w:w="179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04/30/2021</w:t>
            </w:r>
          </w:p>
        </w:tc>
        <w:tc>
          <w:tcPr>
            <w:tcW w:w="472" w:type="dxa"/>
            <w:tcBorders/>
            <w:vAlign w:val="bottom"/>
          </w:tcPr>
          <w:p>
            <w:pPr>
              <w:pStyle w:val="TableContents"/>
              <w:bidi w:val="0"/>
              <w:spacing w:before="0" w:after="283"/>
              <w:jc w:val="left"/>
              <w:rPr/>
            </w:pPr>
            <w:r>
              <w:rPr/>
              <w:t>(6) </w:t>
            </w:r>
          </w:p>
        </w:tc>
        <w:tc>
          <w:tcPr>
            <w:tcW w:w="15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69,611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23,203</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10.27</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04/29/2031</w:t>
            </w:r>
          </w:p>
        </w:tc>
        <w:tc>
          <w:tcPr>
            <w:tcW w:w="67" w:type="dxa"/>
            <w:tcBorders/>
            <w:vAlign w:val="bottom"/>
          </w:tcPr>
          <w:p>
            <w:pPr>
              <w:pStyle w:val="TableContents"/>
              <w:bidi w:val="0"/>
              <w:spacing w:before="0" w:after="283"/>
              <w:jc w:val="left"/>
              <w:rPr/>
            </w:pPr>
            <w:r>
              <w:rPr/>
              <w:t> </w:t>
            </w:r>
          </w:p>
        </w:tc>
      </w:tr>
      <w:tr>
        <w:trPr/>
        <w:tc>
          <w:tcPr>
            <w:tcW w:w="179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05/29/2022</w:t>
            </w:r>
          </w:p>
        </w:tc>
        <w:tc>
          <w:tcPr>
            <w:tcW w:w="472" w:type="dxa"/>
            <w:tcBorders/>
            <w:vAlign w:val="bottom"/>
          </w:tcPr>
          <w:p>
            <w:pPr>
              <w:pStyle w:val="TableContents"/>
              <w:bidi w:val="0"/>
              <w:spacing w:before="0" w:after="283"/>
              <w:jc w:val="left"/>
              <w:rPr/>
            </w:pPr>
            <w:r>
              <w:rPr/>
              <w:t>(7) </w:t>
            </w:r>
          </w:p>
        </w:tc>
        <w:tc>
          <w:tcPr>
            <w:tcW w:w="15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18,754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24,113</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6.57</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05/28/2032</w:t>
            </w:r>
          </w:p>
        </w:tc>
        <w:tc>
          <w:tcPr>
            <w:tcW w:w="67" w:type="dxa"/>
            <w:tcBorders/>
            <w:vAlign w:val="bottom"/>
          </w:tcPr>
          <w:p>
            <w:pPr>
              <w:pStyle w:val="TableContents"/>
              <w:bidi w:val="0"/>
              <w:spacing w:before="0" w:after="283"/>
              <w:jc w:val="left"/>
              <w:rPr/>
            </w:pPr>
            <w:r>
              <w:rPr/>
              <w:t> </w:t>
            </w:r>
          </w:p>
        </w:tc>
      </w:tr>
      <w:tr>
        <w:trPr/>
        <w:tc>
          <w:tcPr>
            <w:tcW w:w="179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03/16/2023</w:t>
            </w:r>
          </w:p>
        </w:tc>
        <w:tc>
          <w:tcPr>
            <w:tcW w:w="472" w:type="dxa"/>
            <w:tcBorders/>
            <w:vAlign w:val="bottom"/>
          </w:tcPr>
          <w:p>
            <w:pPr>
              <w:pStyle w:val="TableContents"/>
              <w:bidi w:val="0"/>
              <w:spacing w:before="0" w:after="283"/>
              <w:jc w:val="left"/>
              <w:rPr/>
            </w:pPr>
            <w:r>
              <w:rPr/>
              <w:t>(8) </w:t>
            </w:r>
          </w:p>
        </w:tc>
        <w:tc>
          <w:tcPr>
            <w:tcW w:w="15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8,037</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34,829</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10.85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03/15/2033</w:t>
            </w:r>
          </w:p>
        </w:tc>
        <w:tc>
          <w:tcPr>
            <w:tcW w:w="67" w:type="dxa"/>
            <w:tcBorders/>
            <w:vAlign w:val="bottom"/>
          </w:tcPr>
          <w:p>
            <w:pPr>
              <w:pStyle w:val="TableContents"/>
              <w:bidi w:val="0"/>
              <w:spacing w:before="0" w:after="283"/>
              <w:jc w:val="left"/>
              <w:rPr/>
            </w:pPr>
            <w:r>
              <w:rPr/>
              <w:t> </w:t>
            </w:r>
          </w:p>
        </w:tc>
      </w:tr>
      <w:tr>
        <w:trPr/>
        <w:tc>
          <w:tcPr>
            <w:tcW w:w="1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Rubin, M.D.</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47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Medical Officer</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07/01/2020</w:t>
            </w:r>
          </w:p>
        </w:tc>
        <w:tc>
          <w:tcPr>
            <w:tcW w:w="472" w:type="dxa"/>
            <w:tcBorders/>
            <w:shd w:fill="CCEEFF" w:val="clear"/>
            <w:vAlign w:val="bottom"/>
          </w:tcPr>
          <w:p>
            <w:pPr>
              <w:pStyle w:val="TableContents"/>
              <w:bidi w:val="0"/>
              <w:spacing w:before="0" w:after="283"/>
              <w:jc w:val="left"/>
              <w:rPr/>
            </w:pPr>
            <w:r>
              <w:rPr/>
              <w:t>(9) </w:t>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81,192</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9,441</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4.11</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06/30/2030</w:t>
            </w:r>
          </w:p>
        </w:tc>
        <w:tc>
          <w:tcPr>
            <w:tcW w:w="67" w:type="dxa"/>
            <w:tcBorders/>
            <w:shd w:fill="CCEEFF" w:val="clear"/>
            <w:vAlign w:val="bottom"/>
          </w:tcPr>
          <w:p>
            <w:pPr>
              <w:pStyle w:val="TableContents"/>
              <w:bidi w:val="0"/>
              <w:spacing w:before="0" w:after="283"/>
              <w:jc w:val="left"/>
              <w:rPr/>
            </w:pPr>
            <w:r>
              <w:rPr/>
              <w:t> </w:t>
            </w:r>
          </w:p>
        </w:tc>
      </w:tr>
      <w:tr>
        <w:trPr/>
        <w:tc>
          <w:tcPr>
            <w:tcW w:w="1793"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04/30/2021</w:t>
            </w:r>
          </w:p>
        </w:tc>
        <w:tc>
          <w:tcPr>
            <w:tcW w:w="472" w:type="dxa"/>
            <w:tcBorders/>
            <w:shd w:fill="CCEEFF" w:val="clear"/>
            <w:vAlign w:val="bottom"/>
          </w:tcPr>
          <w:p>
            <w:pPr>
              <w:pStyle w:val="TableContents"/>
              <w:bidi w:val="0"/>
              <w:spacing w:before="0" w:after="283"/>
              <w:jc w:val="left"/>
              <w:rPr/>
            </w:pPr>
            <w:r>
              <w:rPr/>
              <w:t>(10) </w:t>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29,979</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13,627</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10.27</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04/29/2031</w:t>
            </w:r>
          </w:p>
        </w:tc>
        <w:tc>
          <w:tcPr>
            <w:tcW w:w="67" w:type="dxa"/>
            <w:tcBorders/>
            <w:shd w:fill="CCEEFF" w:val="clear"/>
            <w:vAlign w:val="bottom"/>
          </w:tcPr>
          <w:p>
            <w:pPr>
              <w:pStyle w:val="TableContents"/>
              <w:bidi w:val="0"/>
              <w:spacing w:before="0" w:after="283"/>
              <w:jc w:val="left"/>
              <w:rPr/>
            </w:pPr>
            <w:r>
              <w:rPr/>
              <w:t> </w:t>
            </w:r>
          </w:p>
        </w:tc>
      </w:tr>
      <w:tr>
        <w:trPr/>
        <w:tc>
          <w:tcPr>
            <w:tcW w:w="1793"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05/29/2022</w:t>
            </w:r>
          </w:p>
        </w:tc>
        <w:tc>
          <w:tcPr>
            <w:tcW w:w="472" w:type="dxa"/>
            <w:tcBorders/>
            <w:shd w:fill="CCEEFF" w:val="clear"/>
            <w:vAlign w:val="bottom"/>
          </w:tcPr>
          <w:p>
            <w:pPr>
              <w:pStyle w:val="TableContents"/>
              <w:bidi w:val="0"/>
              <w:spacing w:before="0" w:after="283"/>
              <w:jc w:val="left"/>
              <w:rPr/>
            </w:pPr>
            <w:r>
              <w:rPr/>
              <w:t>(11) </w:t>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11,980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15,403</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6.57</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05/28/2032</w:t>
            </w:r>
          </w:p>
        </w:tc>
        <w:tc>
          <w:tcPr>
            <w:tcW w:w="67" w:type="dxa"/>
            <w:tcBorders/>
            <w:shd w:fill="CCEEFF" w:val="clear"/>
            <w:vAlign w:val="bottom"/>
          </w:tcPr>
          <w:p>
            <w:pPr>
              <w:pStyle w:val="TableContents"/>
              <w:bidi w:val="0"/>
              <w:spacing w:before="0" w:after="283"/>
              <w:jc w:val="left"/>
              <w:rPr/>
            </w:pPr>
            <w:r>
              <w:rPr/>
              <w:t> </w:t>
            </w:r>
          </w:p>
        </w:tc>
      </w:tr>
      <w:tr>
        <w:trPr/>
        <w:tc>
          <w:tcPr>
            <w:tcW w:w="1793"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03/16/2023</w:t>
            </w:r>
          </w:p>
        </w:tc>
        <w:tc>
          <w:tcPr>
            <w:tcW w:w="472" w:type="dxa"/>
            <w:tcBorders/>
            <w:shd w:fill="CCEEFF" w:val="clear"/>
            <w:vAlign w:val="bottom"/>
          </w:tcPr>
          <w:p>
            <w:pPr>
              <w:pStyle w:val="TableContents"/>
              <w:bidi w:val="0"/>
              <w:spacing w:before="0" w:after="283"/>
              <w:jc w:val="left"/>
              <w:rPr/>
            </w:pPr>
            <w:r>
              <w:rPr/>
              <w:t>(12) </w:t>
            </w:r>
          </w:p>
        </w:tc>
        <w:tc>
          <w:tcPr>
            <w:tcW w:w="15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5,134</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22,248</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10.85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03/15/2033</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All outstanding equity awards were granted under the 2015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December 16, 2020 for so long as Dr. Fortney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March 1, 2021 for so long as Dr. Fortney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March 1, 2022 for so long as Dr. Fortney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1/4th of the total shares vesting and becoming exercisable on February 21, 2019 and 1/48th of the total shares vesting and becoming exercisable monthly anniversary thereafter for so long as Dr. Morgen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December 16, 2020 for so long as Dr. Morgen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March 1, 2022 for so long as Dr. Morgen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March 1, 2023 for so long as Dr. Morgen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1/4th of the total shares vesting and becoming exercisable on May 11, 2021 and 1/48th of the total shares vesting and becoming exercisable on each monthly anniversary thereafter for so long as Dr. Rubin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March 1, 2021 for so long as Dr. Rubin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March 1, 2022 for so long as Dr. Rubin continues to provide services to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The option will vest over four years, with 1/48th of the total shares vesting and become exercisable on each monthly anniversary of the vesting commencement date of March 1, 2023 for so long as Dr. Rubin continues to provide services to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Employment Agreements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employment agreements with certain senior management personnel in connection with this offering, including our named executive officers. Each of these agreements provide for at-will employment and include each officers base salary, a discretionary annual incentive bonus opportunity and standard employee benefit plan participation. Any potential payments and benefits due upon a termination of employment or in connection with a change in control of us are described below in Severance and Change of Control Plan. </w:t>
      </w:r>
    </w:p>
    <w:p>
      <w:pPr>
        <w:pStyle w:val="TextBody"/>
        <w:bidi w:val="0"/>
        <w:spacing w:before="360" w:after="0"/>
        <w:jc w:val="left"/>
        <w:rPr>
          <w:rFonts w:ascii="Times New Roman" w:hAnsi="Times New Roman"/>
          <w:b/>
          <w:sz w:val="20"/>
        </w:rPr>
      </w:pPr>
      <w:r>
        <w:rPr>
          <w:rFonts w:ascii="Times New Roman" w:hAnsi="Times New Roman"/>
          <w:b/>
          <w:sz w:val="20"/>
        </w:rPr>
        <w:t xml:space="preserve">Severance and Change of Control Plan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an Executive Severance and Change in Control Plan, or the Severance Plan, which will become effective upon this offering. Certain of our officers, including our named executive officers, will participate in the Severance Plan </w:t>
      </w:r>
    </w:p>
    <w:p>
      <w:pPr>
        <w:pStyle w:val="TextBody"/>
        <w:bidi w:val="0"/>
        <w:spacing w:before="240" w:after="0"/>
        <w:jc w:val="both"/>
        <w:rPr>
          <w:rFonts w:ascii="Times New Roman" w:hAnsi="Times New Roman"/>
          <w:sz w:val="20"/>
        </w:rPr>
      </w:pPr>
      <w:r>
        <w:rPr>
          <w:rFonts w:ascii="Times New Roman" w:hAnsi="Times New Roman"/>
          <w:i/>
          <w:sz w:val="20"/>
        </w:rPr>
        <w:t>Outside of a Change in Control</w:t>
      </w:r>
      <w:r>
        <w:rPr>
          <w:rFonts w:ascii="Times New Roman" w:hAnsi="Times New Roman"/>
          <w:sz w:val="20"/>
        </w:rPr>
        <w:t xml:space="preserve">. Pursuant to the Severance Plan, if Dr. Fortney is terminated without cause or resigns for good reason (as such terms are defined in the Severance Plan), she will be entitled to receive a lump sum cash amount equal to her annual base salary. In addition, if Dr. Fortney timely elects continued coverage under the Consolidated Omnibus Budget Reconciliation Act of 1985 (COBRA), the Company shall pay her monthly premium under COBRA until the earliest of (x) 12 months following her termination date, (y) the date when she receives similar coverage under another employers plans and (z) the expiration of her continuation coverage under COBRA.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Severance Plan, if Drs. Morgen and Rubin are terminated without cause or resign for good reason (as such terms are defined in the Severance Plan), they will be entitled to receive a lump sum cash amount equal to 9 months of their annual base salary. In addition, if Drs. Morgen and Rubin timely elect continued coverage under COBRA, the Company shall pay their monthly premium under COBRA until the earliest of (x) 9 months following their termination date, (y) the date when they receive similar coverage under another employers plans and (z) the expiration of their continuation coverage under COBRA. </w:t>
      </w:r>
    </w:p>
    <w:p>
      <w:pPr>
        <w:pStyle w:val="TextBody"/>
        <w:bidi w:val="0"/>
        <w:spacing w:before="240" w:after="0"/>
        <w:jc w:val="both"/>
        <w:rPr>
          <w:rFonts w:ascii="Times New Roman" w:hAnsi="Times New Roman"/>
          <w:sz w:val="20"/>
        </w:rPr>
      </w:pPr>
      <w:r>
        <w:rPr>
          <w:rFonts w:ascii="Times New Roman" w:hAnsi="Times New Roman"/>
          <w:i/>
          <w:sz w:val="20"/>
        </w:rPr>
        <w:t>In Connection with a Change in Control</w:t>
      </w:r>
      <w:r>
        <w:rPr>
          <w:rFonts w:ascii="Times New Roman" w:hAnsi="Times New Roman"/>
          <w:sz w:val="20"/>
        </w:rPr>
        <w:t xml:space="preserve">. Pursuant to the Severance Plan, if Dr. Fortney is terminated without cause or resign for good reason (as such terms are defined in the Severance Plan) in the period commencing three months prior to a change in control (as such term is defined in the Severance Plan) of us (but only if after the execution of a definitive agreement providing for a change in control if such transaction is consummated) and ending twelve months following a change in control of us, she will be entitled to receive (i) a lump sum cash amount equal to 18 months of her annual base salary and (ii) a lump sum cash amount equal to 1.5 times her target bonus. In addition, if Dr. Fortney timely elects continued coverage under COBRA, the Company shall pay her monthly premium under COBRA until the earliest of (x) 18 months following her termination date, (y) the date when she receives similar coverage under another employers plans and (z) the expiration of her continuation coverage under COBRA. In addition, each of Dr. Fortneys then-outstanding equity awards, other than awards subject to performance-based vesting criteria, will automatically become vested and exercisable or settled in full and any awards that would otherwise vest only upon satisfaction of performance criteria shall be treated in accordance with the applicable performance award agreement.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Severance Plan, if Drs. Morgen and Rubin are terminated without cause or resign for good reason (as such terms are defined in the Severance Plan) in the period commencing three months prior to a change in control (as such term is defined in the Severance Plan) of us (but only if after the execution of a definitive agreement providing for a change in control if such transaction is consummated) and ending twelve months following a change in control of us, they will be entitled to receive (i) a lump sum cash amount equal to their annual base salary and (ii) a lump sum cash amount equal to their target bonus. In addition, if Drs. Morgen and Rubin timely elect continued coverage under COBRA, the Company shall pay their monthly premium under COBRA until the earliest of (x) 12 months following their termination date, (y) the date when they receive similar coverage under another employers plans and (z) the expiration of their continuation coverage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COBRA. In addition, each of Drs. Morgens and Rubins then-outstanding equity awards, other than awards subject to performance-based vesting criteria, will automatically become vested and exercisable or settled in full and any awards that would otherwise vest only upon satisfaction of performance criteria shall be treated in accordance with the applicable performance award agreement.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Severance Plan, cause means: a Severance Plan participant (i) willfully engages in conduct that is in bad faith, dishonest, or a breach of trust and materially injurious to us, including but not limited to, misappropriation of trade secrets, fraud or embezzlement; (ii) commits, is convicted of, or enters a plea of nolo contendere to a felony or crime of moral turpitude; (iii) commits a material breach of any written agreement between the Severance Plan participant and us or a material breach of a policy of us, in either case, that causes harm to us, which breach is not cured within thirty (30) days after receipt of written notice from us describing in detail such breach to the Severance Plan participant; (iv) willfully refuses to implement or follow a directive by the Severance Plan participants supervisor directly related to the Severance Plan participants duties, which breach is not cured within thirty (30) days after receipt of written notice from us describing in detail such breach to the Severance Plan participant; or (v) engages in material misfeasance or malfeasance demonstrated by a continued pattern of material failure to perform the essential job duties associated with the Severance Plan participants position, which breach is not cured within thirty (30) days after receipt of written notice from us describing in detail such breach to the Severance Plan participant.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Severance Plan, good reason means: a cessation of a Severance Plan participants employment as a result of his or her resignation within 60 days after the occurrence of one or more of the following without his or her consent: (i) a material reduction by us in the base salary of the Severance Plan participant; provided that a reduction generally applicable to executive officers of us and in generally the same proportion as for the Severance Plan participant not exceeding ten percent (10%) shall not constitute a material reduction), (ii) a material reduction in the Severance Plan participants duties or responsibilities that is inconsistent with his or her position, (iii) a change in the geographic location at which the Severance Plan participant must perform services that results in an increase in his or her one-way commute by more than twenty (20) miles; or (iv) a material change to the Severance Plan participants current remote work arrangement or (v) a successor of us does not assume the Severance Plan.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Severance Plan, change in control means: the occurrence of any of the following events: (i) any person (as such term is used in Sections 13(d) and 14(d) of the Exchange Act) becomes the beneficial owner (as defined in Rule 13d-3 of the Exchange Act), directly or indirectly, of securities of us representing more than fifty percent (50%) of the total voting power represented by our then outstanding voting securities; (ii) the consummation of the sale or disposition by us of all or substantially all of our assets; or (iii) the consummation of a merger or consolidation of us with any other corporation, other than a merger or consolidation which would result in the our voting securities outstanding immediately prior thereto continuing to represent (either by remaining outstanding or by being converted into voting securities of the surviving entity or its parent) at least fifty percent (50%) of the total voting power represented by our voting securities or such surviving entity or its parent outstanding immediately after such merger or consolidation; provided that the event also qualifies as a change in control under U.S. Treasury Regulation 1.409A-3(i)(5)(v). </w:t>
      </w:r>
    </w:p>
    <w:p>
      <w:pPr>
        <w:pStyle w:val="TextBody"/>
        <w:bidi w:val="0"/>
        <w:spacing w:before="240" w:after="0"/>
        <w:jc w:val="both"/>
        <w:rPr>
          <w:rFonts w:ascii="Times New Roman" w:hAnsi="Times New Roman"/>
          <w:sz w:val="20"/>
        </w:rPr>
      </w:pPr>
      <w:r>
        <w:rPr>
          <w:rFonts w:ascii="Times New Roman" w:hAnsi="Times New Roman"/>
          <w:sz w:val="20"/>
        </w:rPr>
        <w:t xml:space="preserve">All such severance payments and benefits are subject to each named executive officers execution of a general release of claims against us. </w:t>
      </w:r>
    </w:p>
    <w:p>
      <w:pPr>
        <w:pStyle w:val="TextBody"/>
        <w:bidi w:val="0"/>
        <w:spacing w:before="240" w:after="0"/>
        <w:jc w:val="both"/>
        <w:rPr>
          <w:rFonts w:ascii="Times New Roman" w:hAnsi="Times New Roman"/>
          <w:sz w:val="20"/>
        </w:rPr>
      </w:pPr>
      <w:r>
        <w:rPr>
          <w:rFonts w:ascii="Times New Roman" w:hAnsi="Times New Roman"/>
          <w:sz w:val="20"/>
        </w:rPr>
        <w:t xml:space="preserve">The terms of the Severance Plan will supersede all prior agreements with our named executive officers, including their respective individual offer letters and employment agreements, with respect to any severance payments and equity acceleration to which any such named executive officers may be entitled upon a termination of service or change in control of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Equity Compensation Plans and Other Benefit Plans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 These summaries are qualified in their entirety by reference to the actual text of the plans, which are filed as exhibits to the registration statement of which this prospectus is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2015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Our 2015 Plan was initially adopted by our board of directors, referred to as the Board, and approved by our stockholders in August 2015. </w:t>
      </w:r>
    </w:p>
    <w:p>
      <w:pPr>
        <w:pStyle w:val="TextBody"/>
        <w:bidi w:val="0"/>
        <w:spacing w:before="240" w:after="0"/>
        <w:jc w:val="both"/>
        <w:rPr>
          <w:rFonts w:ascii="Times New Roman" w:hAnsi="Times New Roman"/>
          <w:sz w:val="20"/>
        </w:rPr>
      </w:pPr>
      <w:r>
        <w:rPr>
          <w:rFonts w:ascii="Times New Roman" w:hAnsi="Times New Roman"/>
          <w:i/>
          <w:sz w:val="20"/>
        </w:rPr>
        <w:t>Share Reserve.</w:t>
      </w:r>
      <w:r>
        <w:rPr>
          <w:rFonts w:ascii="Times New Roman" w:hAnsi="Times New Roman"/>
          <w:sz w:val="20"/>
        </w:rPr>
        <w:t xml:space="preserve"> As of June 30, 2024 we had 5,954,650 shares of our common stock reserved for issuance pursuant to grants under our 2015 Plan, of which 1,188,988 remained available for grant. As of June 30, 2024, options to purchase 74,742 shares of common stock had been exercised to date and options to purchase 4,522,711 shares remained outstanding, with a weighted-average exercise price of $8.41 per share. As of June 30, 2024, no shares of restricted stock issued under the 2015 Plan remained outstanding. No other types of awards have been granted or are currently outstanding under the 2015 Plan. The 2015 Plan will terminate on the date that the 2024 Plan becomes effective (as described below) and no additional grants will be made pursuant to the 2015 Plan following its termination. However, any outstanding stock options and shares of restricted stock will remain outstanding and subject to the terms and conditions of the 2015 Plan until they are exercised, as applicable, or are terminated in accordance with the terms of the 2015 Plan and the applicable award agreements evidencing such awards. </w:t>
      </w:r>
    </w:p>
    <w:p>
      <w:pPr>
        <w:pStyle w:val="TextBody"/>
        <w:bidi w:val="0"/>
        <w:spacing w:before="240" w:after="0"/>
        <w:jc w:val="both"/>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board of directors, or a committee thereof appointed by our board of directors (collectively, the administrator), administers the 2015 Plan and the awards granted thereunder. Subject to the terms of the 2015 Plan, the administrator has the authority to, among other things, select the persons to whom awards will be granted, construe and interpret the 2015 Plan as well as amend the terms of any outstanding award under the 2015 Plan, provided that any amendment that would adversely affect a participants rights under an outstanding award shall not be made without such participants written consent. The 2015 Plan provides that the administrator may delegate the authority to grant awards under the 2015 Plan to one or more executive officers to the extent permitted by applicable law, provided that each such officer is a member of the Board. </w:t>
      </w:r>
    </w:p>
    <w:p>
      <w:pPr>
        <w:pStyle w:val="TextBody"/>
        <w:bidi w:val="0"/>
        <w:spacing w:before="240" w:after="0"/>
        <w:jc w:val="both"/>
        <w:rPr>
          <w:rFonts w:ascii="Times New Roman" w:hAnsi="Times New Roman"/>
          <w:sz w:val="20"/>
        </w:rPr>
      </w:pPr>
      <w:r>
        <w:rPr>
          <w:rFonts w:ascii="Times New Roman" w:hAnsi="Times New Roman"/>
          <w:i/>
          <w:sz w:val="20"/>
        </w:rPr>
        <w:t>Eligibility and Types of Awards.</w:t>
      </w:r>
      <w:r>
        <w:rPr>
          <w:rFonts w:ascii="Times New Roman" w:hAnsi="Times New Roman"/>
          <w:sz w:val="20"/>
        </w:rPr>
        <w:t xml:space="preserve"> The 2015 Plan provides for the grant of both incentive stock options (ISOs), within the meaning of Section 422 of the Code, and nonqualified stock options (NSOs), as well as for the issuance or awards of Restricted Stock Units (RSUs), Stock Appreciation Rights (SARs) and Restricted Stock Awards (RSAs), (each as defined in the 2015 Plan) or other stock-based awards. We may grant ISOs only to our employees. We may grant NSOs, RSUs, SARs, RSAs, and other stock-based awards to our employees, outside directors and consultants. As of June 30, 2024, only stock options and RSAs have been granted under the 2015 Plan. We refer to employees, outside directors or consultants who receive an award under our 2015 Plan as participants. </w:t>
      </w:r>
    </w:p>
    <w:p>
      <w:pPr>
        <w:pStyle w:val="TextBody"/>
        <w:bidi w:val="0"/>
        <w:spacing w:before="240" w:after="0"/>
        <w:jc w:val="both"/>
        <w:rPr>
          <w:rFonts w:ascii="Times New Roman" w:hAnsi="Times New Roman"/>
          <w:sz w:val="20"/>
        </w:rPr>
      </w:pPr>
      <w:r>
        <w:rPr>
          <w:rFonts w:ascii="Times New Roman" w:hAnsi="Times New Roman"/>
          <w:i/>
          <w:sz w:val="20"/>
        </w:rPr>
        <w:t>Options.</w:t>
      </w:r>
      <w:r>
        <w:rPr>
          <w:rFonts w:ascii="Times New Roman" w:hAnsi="Times New Roman"/>
          <w:sz w:val="20"/>
        </w:rPr>
        <w:t xml:space="preserve"> The 2015 Plan provides for the grant of both (1) ISOs, intended to qualify for tax treatment under Section 422 of the Code, which may be granted only to employees and (2) NSOs, which may be granted to our employees, outside directors and consultants, each at a stated exercise price and subject to certain vesting and other terms and conditions as set forth in the 2015 Plan. The 2015 Plan provides that the exercise price of each ISO and NSO must be at least equal to the fair market value of our common stock on the date of grant. In addition, the exercise price of any ISO granted to a participant who owns more than 10% of the total combined voting power of all classes of our capital stock must be at least equal to 110% of the fair market value of our common stock on the date of grant. The maximum permitted term of options granted under our 2015 Plan is ten years from the date of grant, except that the maximum permitted term of ISOs granted to a participant who owns more than 10% of the total combined voting power of all classes of our capital stock is five years from the date of grant. Our 2015 Plan allows for the early exercise of stock option grants in the administrators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Restricted Stock Awards and RSUs.</w:t>
      </w:r>
      <w:r>
        <w:rPr>
          <w:rFonts w:ascii="Times New Roman" w:hAnsi="Times New Roman"/>
          <w:sz w:val="20"/>
        </w:rPr>
        <w:t xml:space="preserve"> The 2015 Plan provides for the grant of RSAs and RSUs, with terms as generally determined by the administrator (in accordance with the 2015 Plan) and to be set forth in an award agreement. An RSA is an offer by us to sell shares of our common stock subject to restrictions, which may lapse based on the satisfaction of service or achievement of performance conditions. The price, if any, of an RSA will be determined by the administrator. Holders of RSAs, unlike holders of options, will have the right to vote and any dividends or stock distributions paid pursuant to RSAs will be accrued and paid when the restrictions on such shares lapse. RSUs represent the right to receive shares of our common stock at a specified date in the future and may be subject to vesting based on service or achievement of performance conditions. Vested RSUs may be settled in cash, shares of our common stock or a combination of both. </w:t>
      </w:r>
    </w:p>
    <w:p>
      <w:pPr>
        <w:pStyle w:val="TextBody"/>
        <w:bidi w:val="0"/>
        <w:spacing w:before="240" w:after="0"/>
        <w:jc w:val="both"/>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The 2015 Plan provides for the grant of SARs at a stated exercise price, which shall be at least equal to the fair market value of our common stock on the date of grant. A SAR provides for a payment, in cash or shares of our common stock (up to a specified maximum of shares, if determined by the administrator), to the holder based upon the difference between the fair market value of our common stock on the date of exercise and the exercise price, multiplied by the number of shares subject to the SAR. The administrator will determine the vesting schedule applicable to each SAR. The maximum permitted term of SARs granted under the 2015 Plan is ten years from the date of grant. </w:t>
      </w:r>
    </w:p>
    <w:p>
      <w:pPr>
        <w:pStyle w:val="TextBody"/>
        <w:bidi w:val="0"/>
        <w:spacing w:before="240" w:after="0"/>
        <w:jc w:val="both"/>
        <w:rPr>
          <w:rFonts w:ascii="Times New Roman" w:hAnsi="Times New Roman"/>
          <w:sz w:val="20"/>
        </w:rPr>
      </w:pPr>
      <w:r>
        <w:rPr>
          <w:rFonts w:ascii="Times New Roman" w:hAnsi="Times New Roman"/>
          <w:i/>
          <w:sz w:val="20"/>
        </w:rPr>
        <w:t>Limited Transferability.</w:t>
      </w:r>
      <w:r>
        <w:rPr>
          <w:rFonts w:ascii="Times New Roman" w:hAnsi="Times New Roman"/>
          <w:sz w:val="20"/>
        </w:rPr>
        <w:t xml:space="preserve"> During a participants lifetime, the participants options or SARs shall be exercisable only by the participant or by the participants guardian or legal representatives and shall not be transferable other than by will or the laws of descent and distribution. To the extent permitted by our board of directors in its sole discretion, an NSO may be transferred by the participant to an inter vivos or testamentary trust in which the NSOs are to be passed to beneficiaries upon the death of the trustor (settlor) or by gift to family member as that term is defined in Rule 701. RSAs shall be non-transferable unless determined otherwise by the Board. Unless otherwise provided in the Award Agreement, Restricted Stock Units may not be transferred other than by will or the laws of descent and distribution. </w:t>
      </w:r>
    </w:p>
    <w:p>
      <w:pPr>
        <w:pStyle w:val="TextBody"/>
        <w:bidi w:val="0"/>
        <w:spacing w:before="240" w:after="0"/>
        <w:jc w:val="both"/>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that we experience an Acquisition or Other Combination (each as defined in the 2015 Plan, and as described below), outstanding awards shall be treated as set forth in the agreement evidencing the Acquisition or Other Combination, in each case without the participants consent. Subject to compliance with Section 409A of the Code, as applicable and as set forth in the 2015 Plan, such agreement may provide for one or more of the following: (i) the continuation of the outstanding awards by us, if we are a surviving corporation; (ii) the assumption, in whole or in part, of the outstanding awards by the surviving corporation or a successor entity or its parent; (iii) the substitution, in whole or in part, by the surviving corporation or a successor entity or its parent of equivalent awards with substantially the same terms for such outstanding awards; (iv) full or partial exercisability, or vesting and accelerated expiration of outstanding awards; (v) settlement of the full value of the outstanding awards, whether or not then vested or exercisable, with payment made in cash, cash equivalents or securities of the successor entity (or its parent if any) followed by the cancellation of such awards, provided however, that such award may be cancelled without consideration if such award has no value as determined by the administrator in its discretion or (vi) the cancellation of outstanding awards in exchange for no consideration. We will have no obligation to treat all awards, all awards held by a participant, or all awards of the same type, similarly.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above provisions, an Acquisition is defined in the 2015 Plan as (a) 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 (b) a sale or other transfer by the holders thereof of outstanding voting stock and/or other voting securities of the Company possessing more than fifty percent (50%) of the total voting power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 (c) 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Other Combination is defined in the 2015 Plan as any (a) consolidation or merger in which the Company is a constituent entity and is not the surviving entity of such consolidation or merger or (b) any conversion of the Company into another form of entity; provided that such consolidation, merger or conversion does not constitute an Acquisition.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vesting and exercisability, as applicable, of equity awards granted to outside directors will automatically be accelerated in full in the event of a change in control of the company. </w:t>
      </w:r>
    </w:p>
    <w:p>
      <w:pPr>
        <w:pStyle w:val="TextBody"/>
        <w:bidi w:val="0"/>
        <w:spacing w:before="240" w:after="0"/>
        <w:jc w:val="both"/>
        <w:rPr>
          <w:rFonts w:ascii="Times New Roman" w:hAnsi="Times New Roman"/>
          <w:sz w:val="20"/>
        </w:rPr>
      </w:pPr>
      <w:r>
        <w:rPr>
          <w:rFonts w:ascii="Times New Roman" w:hAnsi="Times New Roman"/>
          <w:i/>
          <w:sz w:val="20"/>
        </w:rPr>
        <w:t>Modification, Extension and Renewal of Options.</w:t>
      </w:r>
      <w:r>
        <w:rPr>
          <w:rFonts w:ascii="Times New Roman" w:hAnsi="Times New Roman"/>
          <w:sz w:val="20"/>
        </w:rPr>
        <w:t xml:space="preserve"> The administrator may modify, extend or renew outstanding stock options and authorize the grant of new options in substitution therefor, or reduce the exercise price of outstanding stock options, provided that, in each case, any such action may not, without the written consent of a participant, impair any of such participants rights under any options previously granted. </w:t>
      </w:r>
    </w:p>
    <w:p>
      <w:pPr>
        <w:pStyle w:val="TextBody"/>
        <w:bidi w:val="0"/>
        <w:spacing w:before="240" w:after="0"/>
        <w:jc w:val="both"/>
        <w:rPr>
          <w:rFonts w:ascii="Times New Roman" w:hAnsi="Times New Roman"/>
          <w:sz w:val="20"/>
        </w:rPr>
      </w:pPr>
      <w:r>
        <w:rPr>
          <w:rFonts w:ascii="Times New Roman" w:hAnsi="Times New Roman"/>
          <w:i/>
          <w:sz w:val="20"/>
        </w:rPr>
        <w:t>Adjustments.</w:t>
      </w:r>
      <w:r>
        <w:rPr>
          <w:rFonts w:ascii="Times New Roman" w:hAnsi="Times New Roman"/>
          <w:sz w:val="20"/>
        </w:rPr>
        <w:t xml:space="preserve"> In the event that the number of our outstanding common stock is changed by a declaration of a dividend payable in shares, a recapitalization, stock split, reverse stock split, subdivision, combination, reclassification or other change in the capital structure of the Company affecting shares without consideration, our board of directors shall make appropriate adjustments to the following: (i) the number of shares available for future awards, (ii) the number of shares covered by each outstanding award, (iii) the exercise price under each outstanding options and SARs and (iv) the purchase price of shares subject to other outstanding awards; provided, however, that fractions of a share will not be issued but will either be paid in cash at the fair market value of such fraction of a share or will be rounded down to the nearest whole share, as determined by the administrator. </w:t>
      </w:r>
    </w:p>
    <w:p>
      <w:pPr>
        <w:pStyle w:val="TextBody"/>
        <w:bidi w:val="0"/>
        <w:spacing w:before="240" w:after="0"/>
        <w:jc w:val="both"/>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The administrator may amend, suspend or terminate the 2015 Plan at any time, provided that the administrator will not, without the approval of our stockholders amend the 2015 Plan in any manner that requires stockholder approval pursuant to Section 25102(o) or pursuant to the Code or the regulations promulgated under the Code as such provisions apply to ISO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our 2024 Plan that became effective on the day prior to the date of the effectiveness of the registration statement for which this prospectus will form a part and will serve as the successor to our 2015 Plan. Our 2024 Plan authorizes the award of ISOs, which are intended to qualify for tax treatment under Section 422 of the Code, and NSOs, RSAs, SARs, RSUs, performance awards and stock bonus awards. We have initially reserved 3,650,000 shares of our common stock, which includes any reserved shares not issued or subject to outstanding grants under the 2015 Plan on the effective date of the 2024 Plan, for issuance pursuant to awards granted under our 2024 Plan. The number of shares reserved for issuance under our 2024 Plan will increase automatically on January 1 of each of the first ten calendar years during the term of the 2024 Plan by the number of shares equal to the </w:t>
      </w:r>
      <w:r>
        <w:rPr>
          <w:rFonts w:ascii="Times New Roman" w:hAnsi="Times New Roman"/>
          <w:i/>
          <w:sz w:val="20"/>
        </w:rPr>
        <w:t>lesser of</w:t>
      </w:r>
      <w:r>
        <w:rPr>
          <w:rFonts w:ascii="Times New Roman" w:hAnsi="Times New Roman"/>
          <w:sz w:val="20"/>
        </w:rPr>
        <w:t xml:space="preserve"> 5% of the aggregate number of all classes of our common stock and the total number of shares of our common stock subject to any pre-funded warrants, in each case, as issued and outstanding as of the immediately preceding December 31, or a number as may be determined by our board of directors. Pursuant to the 2024 Plan, ISOs may be granted only to our employees. We may grant all other types of awards to our employees, directors and consultants.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the following shares will again be available for issuance pursuant to awards granted under our 2024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options or SARs granted under our 2024 Plan that cease to be subject to the option or SAR for any reason other than exercise of the option or SAR;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2024 Plan that are subsequently forfeited or repurchased by us at the original issue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2024 Plan that otherwise terminate without such shares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2024 Plan that are surrendered, cancelled or exchanged for cash or a different award (or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options or other awards granted under our 2015 Plan that cease to be subject to such options or other awards, by forfeiture or otherwise, after the termination of the 2015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issued under the 2015 Plan before or after the effective date of the 2024 Plan pursuant to the exercise of stock options that are, after the effective date,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granted under our 2015 Plan that are repurchased by us at the original price after the termination of the 2015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shares subject to awards grant under either our 2015 Plan or our 2024 Plan that are used to pay the exercise price of an award, as applicable, or withheld to satisfy the tax withholding obligations related to any award. </w:t>
            </w:r>
          </w:p>
        </w:tc>
      </w:tr>
    </w:tbl>
    <w:p>
      <w:pPr>
        <w:pStyle w:val="TextBody"/>
        <w:bidi w:val="0"/>
        <w:spacing w:before="240" w:after="0"/>
        <w:jc w:val="both"/>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2024 Plan is expected to be administered by our compensation committee (Committee), all of the members of which are outside directors as defined under applicable federal tax laws, or by our board of directors acting in place of our Committee. Subject to the terms and conditions of the 2024 Plan, the Committee will have the authority, among other things, to select the persons to whom awards may be granted, construe and interpret our 2024 Plan as well as to determine the terms of such awards and prescribe, amend and rescind the rules and regulations relating to the 2024 Plan or any award granted thereunder. The 2024 Plan provides that our board of directors or our Committee may delegate its authority, including the authority to grant awards, to one or more executive officers to the extent permitted by applicable law, provided that awards granted to non-employee directors may only be determined by our board of directors. </w:t>
      </w:r>
    </w:p>
    <w:p>
      <w:pPr>
        <w:pStyle w:val="TextBody"/>
        <w:bidi w:val="0"/>
        <w:spacing w:before="240" w:after="0"/>
        <w:jc w:val="both"/>
        <w:rPr>
          <w:rFonts w:ascii="Times New Roman" w:hAnsi="Times New Roman"/>
          <w:sz w:val="20"/>
        </w:rPr>
      </w:pPr>
      <w:r>
        <w:rPr>
          <w:rFonts w:ascii="Times New Roman" w:hAnsi="Times New Roman"/>
          <w:i/>
          <w:sz w:val="20"/>
        </w:rPr>
        <w:t>Eligibility.</w:t>
      </w:r>
      <w:r>
        <w:rPr>
          <w:rFonts w:ascii="Times New Roman" w:hAnsi="Times New Roman"/>
          <w:sz w:val="20"/>
        </w:rPr>
        <w:t xml:space="preserve"> Our 2024 Plan provides for the grant of awards to our employees, directors, consultants, independent contractors and advisors. </w:t>
      </w:r>
    </w:p>
    <w:p>
      <w:pPr>
        <w:pStyle w:val="TextBody"/>
        <w:bidi w:val="0"/>
        <w:spacing w:before="240" w:after="0"/>
        <w:jc w:val="both"/>
        <w:rPr>
          <w:rFonts w:ascii="Times New Roman" w:hAnsi="Times New Roman"/>
          <w:sz w:val="20"/>
        </w:rPr>
      </w:pPr>
      <w:r>
        <w:rPr>
          <w:rFonts w:ascii="Times New Roman" w:hAnsi="Times New Roman"/>
          <w:i/>
          <w:sz w:val="20"/>
        </w:rPr>
        <w:t xml:space="preserve">Options. </w:t>
      </w:r>
      <w:r>
        <w:rPr>
          <w:rFonts w:ascii="Times New Roman" w:hAnsi="Times New Roman"/>
          <w:sz w:val="20"/>
        </w:rPr>
        <w:t xml:space="preserve">Our 2024 Plan provides for the grant of both ISOs intended to qualify under Section 422 of the Code, and NSOs to purchase shares of our common stock at a stated exercise price. ISOs may only be granted to employees, including officers and directors who are also employees. The exercise price of stock options granted under the 2024 Plan must be at least equal to the fair market value of our common stock on the date of grant. In addition, ISOs granted to an individual who holds more than 10% of the total combined voting power of all classes of our capital stock must have an exercise price of at least 110% of the fair market value of our common stock on the date of grant. Subject to stock splits, dividends, recapitalizations or similar events, no more than 10,000,000 shares may be issued pursuant to the exercise of incentive stock options granted under the 2024 Plan. </w:t>
      </w:r>
    </w:p>
    <w:p>
      <w:pPr>
        <w:pStyle w:val="TextBody"/>
        <w:bidi w:val="0"/>
        <w:spacing w:before="240" w:after="0"/>
        <w:jc w:val="both"/>
        <w:rPr>
          <w:rFonts w:ascii="Times New Roman" w:hAnsi="Times New Roman"/>
          <w:sz w:val="20"/>
        </w:rPr>
      </w:pPr>
      <w:r>
        <w:rPr>
          <w:rFonts w:ascii="Times New Roman" w:hAnsi="Times New Roman"/>
          <w:sz w:val="20"/>
        </w:rPr>
        <w:t xml:space="preserve">Options may vest based on service or achievement of performance conditions. Our Committee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other than due to cause or the participants death or disability (as such terms are defined in our 2024 Plan), or 12 months in the case of termination due to the participants death or disability, or such longer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shorter period as the Committee may provide, but in any event no later than the expiration date of the stock option. Stock options generally terminate upon a participants termination of employment for cause. The maximum term of options granted under our 2024 Plan is ten years from the date of grant, except that the maximum permitted term of ISOs granted to an individual who holds more than 10% of the total combined voting power of all classes of our capital stock is five years from the date of grant. </w:t>
      </w:r>
    </w:p>
    <w:p>
      <w:pPr>
        <w:pStyle w:val="TextBody"/>
        <w:bidi w:val="0"/>
        <w:spacing w:before="240" w:after="0"/>
        <w:jc w:val="both"/>
        <w:rPr>
          <w:rFonts w:ascii="Times New Roman" w:hAnsi="Times New Roman"/>
          <w:sz w:val="20"/>
        </w:rPr>
      </w:pPr>
      <w:r>
        <w:rPr>
          <w:rFonts w:ascii="Times New Roman" w:hAnsi="Times New Roman"/>
          <w:sz w:val="20"/>
        </w:rPr>
        <w:t xml:space="preserve">Upon exercise of options, the exercise price must be paid in full either in cash, cash equivalents or in other manners approved by the Committee, including by surrender of shares of common stock that are beneficially owned by the participant free of restrictions. Subject to applicable law, the exercise price may also be delivered pursuant to a broker assisted or other form of cashless exercise program implemented by us in connection with the 2024 Plan. </w:t>
      </w:r>
    </w:p>
    <w:p>
      <w:pPr>
        <w:pStyle w:val="TextBody"/>
        <w:bidi w:val="0"/>
        <w:spacing w:before="240" w:after="0"/>
        <w:jc w:val="both"/>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An RSA is an offer by us to sell shares of our common stock subject to restrictions, which may lapse based on the satisfaction of service or achievement of performance conditions. The price, if any, of an RSA will be determined by the Committee. Holders of RSAs will have the right to vote and any dividends or stock distributions paid pursuant to unvested RSAs will be accrued and paid only when the restrictions on such shares lapse. Unless otherwise determined by the Committee at the time of award, vesting will cease on the date the participant no longer provides services to us and unvested RSAs may be forfeited to or repurchased by us. </w:t>
      </w:r>
    </w:p>
    <w:p>
      <w:pPr>
        <w:pStyle w:val="TextBody"/>
        <w:bidi w:val="0"/>
        <w:spacing w:before="240" w:after="0"/>
        <w:jc w:val="both"/>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A SAR provides for a payment, in cash or shares of our common stock (up to a specified maximum of shares, if determined by our Committee), to the holder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and may not have a term that is longer than ten years from the date of grant. </w:t>
      </w:r>
    </w:p>
    <w:p>
      <w:pPr>
        <w:pStyle w:val="TextBody"/>
        <w:bidi w:val="0"/>
        <w:spacing w:before="240" w:after="0"/>
        <w:jc w:val="both"/>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RSUs represent the right to receive shares of our common stock at a specified date in the future and may be subject to vesting based on service or achievement of performance conditions. Settlement of vested RSUs will be made as soon as practicable and by a date determined at the time of grant, and may be settled in cash, shares of our common stock or a combination of both. No RSU may have a term that is longer than ten years from the date of grant. </w:t>
      </w:r>
    </w:p>
    <w:p>
      <w:pPr>
        <w:pStyle w:val="TextBody"/>
        <w:bidi w:val="0"/>
        <w:spacing w:before="240" w:after="0"/>
        <w:jc w:val="both"/>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Performance awards granted to pursuant to the 2024 Plan maybe in the form of a cash bonus, or an award of performance shares or performance units denominated in shares of our common stock that may be settled in cash, property or by issuance of those shares subject to the satisfaction or achievement of specified performance conditions. </w:t>
      </w:r>
    </w:p>
    <w:p>
      <w:pPr>
        <w:pStyle w:val="TextBody"/>
        <w:bidi w:val="0"/>
        <w:spacing w:before="240" w:after="0"/>
        <w:jc w:val="both"/>
        <w:rPr>
          <w:rFonts w:ascii="Times New Roman" w:hAnsi="Times New Roman"/>
          <w:sz w:val="20"/>
        </w:rPr>
      </w:pPr>
      <w:r>
        <w:rPr>
          <w:rFonts w:ascii="Times New Roman" w:hAnsi="Times New Roman"/>
          <w:i/>
          <w:sz w:val="20"/>
        </w:rPr>
        <w:t>Stock Bonus Awards.</w:t>
      </w:r>
      <w:r>
        <w:rPr>
          <w:rFonts w:ascii="Times New Roman" w:hAnsi="Times New Roman"/>
          <w:sz w:val="20"/>
        </w:rPr>
        <w:t xml:space="preserve"> A stock bonus award provides for payment in the form of cash, shares of our common stock or a combination thereof, based on the fair market value of shares subject such award as determined by our Committee. The awards may be granted as consideration for services already rendered, or at the discretion of the Committee, may be subject to vesting restrictions based on continued service or performance conditions. </w:t>
      </w:r>
    </w:p>
    <w:p>
      <w:pPr>
        <w:pStyle w:val="TextBody"/>
        <w:bidi w:val="0"/>
        <w:spacing w:before="240" w:after="0"/>
        <w:jc w:val="both"/>
        <w:rPr>
          <w:rFonts w:ascii="Times New Roman" w:hAnsi="Times New Roman"/>
          <w:sz w:val="20"/>
        </w:rPr>
      </w:pPr>
      <w:r>
        <w:rPr>
          <w:rFonts w:ascii="Times New Roman" w:hAnsi="Times New Roman"/>
          <w:i/>
          <w:sz w:val="20"/>
        </w:rPr>
        <w:t>Dividend Equivalents Rights.</w:t>
      </w:r>
      <w:r>
        <w:rPr>
          <w:rFonts w:ascii="Times New Roman" w:hAnsi="Times New Roman"/>
          <w:sz w:val="20"/>
        </w:rPr>
        <w:t xml:space="preserve"> Dividend equivalent rights may be granted at the discretion of our Committee and represent the right to receive the value of dividends, if any, paid by us in respect of the number of shares of our common stock underlying an award. Dividend equivalent rights will be subject to the same vesting or performance conditions as the underlying award, subject to the discretion of the Committee, and may be paid only at such time as the underlying award has become fully vested. Dividend equivalent rights may be settled in cash, shares or other property, or a combination of thereof as determined by our Committee. No dividend equivalent rights will be paid in respect of options or SARs. </w:t>
      </w:r>
    </w:p>
    <w:p>
      <w:pPr>
        <w:pStyle w:val="TextBody"/>
        <w:bidi w:val="0"/>
        <w:spacing w:before="240" w:after="0"/>
        <w:jc w:val="both"/>
        <w:rPr>
          <w:rFonts w:ascii="Times New Roman" w:hAnsi="Times New Roman"/>
          <w:sz w:val="20"/>
        </w:rPr>
      </w:pPr>
      <w:r>
        <w:rPr>
          <w:rFonts w:ascii="Times New Roman" w:hAnsi="Times New Roman"/>
          <w:i/>
          <w:sz w:val="20"/>
        </w:rPr>
        <w:t>Change of Control.</w:t>
      </w:r>
      <w:r>
        <w:rPr>
          <w:rFonts w:ascii="Times New Roman" w:hAnsi="Times New Roman"/>
          <w:sz w:val="20"/>
        </w:rPr>
        <w:t xml:space="preserve"> In the event of a Corporate Transaction (as defined in the 2024 Plan), any or all outstanding awards shall be subject to the definitive agreement related thereto, and may be (a) continued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Company, if the Company is the successor entity; (b) assumed or substituted by the successor corporation, or a parent or subsidiary of the successor corporation, for substantially equivalent awards (including, but not limited to, an award to acquire the same consideration paid to the stockholders of the Company pursuant to the Corporate Transaction), in each case after taking into account appropriate adjustments for the number and kind of shares and exercise prices; (c) immediately vested (and exercisable, as applicable) and settled (as applicable), followed by the cancellation of such awards upon or immediately prior to the effectiveness of such transaction or (d)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our Committee determines in good faith that no amount would have been attained upon the exercise of such award or realization of the participants rights, then such award may be terminated by the Company without payment, in each case without the participants consent. The successor corporation also may issue, as replacement of outstanding shares of the Company held by the participant, substantially similar shares or other property subject to repurchase restrictions no less favorable to the participant. In the event such successor corporation refuses to assume, substitute or replace any award in accordance with the 2024 Plan, then notwithstanding any other provision in the 2024 Plan to the contrary, each such award shall become fully vested and, as applicable, exercisable and any rights of repurchase or forfeiture restrictions thereon shall lapse, immediately prior to the consummation of the Corporate Transaction. Performance-based awards not assumed pursuant to the foregoing shall be deemed earned and vested at 100% of target level, unless otherwise indicated pursuant to the terms and conditions of the applicable award agreement. If an award vests in lieu of assumption or substitution in connection with a Corporate Transaction as provided above, our Committee will notify the holder of such award in writing or electronically that such award will be exercisable for a period of time determined by our Committee in its sole discretion, and such award will terminate upon the expiration of such period without consideration. Awards need not be treated similarly in a Corporate Transaction, and treatment may vary from award to award and/or from participant to participant. Notwithstanding any provision to the contrary in the 2024 Plan, in the event of a Corporate Transaction, the vesting of all awards granted to non-employee directors will accelerate and such awards will become exercisable (as applicable) in full prior to the consummation of such event at such times and on such conditions as our Committee determines. </w:t>
      </w:r>
    </w:p>
    <w:p>
      <w:pPr>
        <w:pStyle w:val="TextBody"/>
        <w:bidi w:val="0"/>
        <w:spacing w:before="240" w:after="0"/>
        <w:jc w:val="both"/>
        <w:rPr>
          <w:rFonts w:ascii="Times New Roman" w:hAnsi="Times New Roman"/>
          <w:sz w:val="20"/>
        </w:rPr>
      </w:pPr>
      <w:r>
        <w:rPr>
          <w:rFonts w:ascii="Times New Roman" w:hAnsi="Times New Roman"/>
          <w:i/>
          <w:sz w:val="20"/>
        </w:rPr>
        <w:t>Adjustment.</w:t>
      </w:r>
      <w:r>
        <w:rPr>
          <w:rFonts w:ascii="Times New Roman" w:hAnsi="Times New Roman"/>
          <w:sz w:val="20"/>
        </w:rPr>
        <w:t xml:space="preserve"> In the event of a change in the number of outstanding shares of our common stock by reason of a stock dividend, extraordinary dividend or distribution (whether in cash, shares, or other property, other than a regular cash dividend), recapitalization, stock split, reverse stock split, subdivision, combination, consolidation reclassification, spin-off or similar change in our capital structure, without consideration, appropriate proportional adjustments will be made to the number of shares reserved for issuance under our 2024 Plan; the exercise prices, number and class of shares subject to outstanding options or SARs; the number and class of shares subject to other outstanding awards; and any applicable maximum award limits with respect to incentive stock options. </w:t>
      </w:r>
    </w:p>
    <w:p>
      <w:pPr>
        <w:pStyle w:val="TextBody"/>
        <w:bidi w:val="0"/>
        <w:spacing w:before="240" w:after="0"/>
        <w:jc w:val="both"/>
        <w:rPr>
          <w:rFonts w:ascii="Times New Roman" w:hAnsi="Times New Roman"/>
          <w:sz w:val="20"/>
        </w:rPr>
      </w:pPr>
      <w:r>
        <w:rPr>
          <w:rFonts w:ascii="Times New Roman" w:hAnsi="Times New Roman"/>
          <w:i/>
          <w:sz w:val="20"/>
        </w:rPr>
        <w:t>Exchange, Repricing and Buyout of Awards.</w:t>
      </w:r>
      <w:r>
        <w:rPr>
          <w:rFonts w:ascii="Times New Roman" w:hAnsi="Times New Roman"/>
          <w:sz w:val="20"/>
        </w:rPr>
        <w:t xml:space="preserve"> Our Committee may, without prior stockholder approval, (i) reduce the exercise price of outstanding options or SARs without the consent of any participant and (ii) pay cash or issue new awards in exchange for the surrender and cancellation of any, or all, outstanding awards, subject to the consent of any affected participant to the extent required by the terms of the 2024 Plan. </w:t>
      </w:r>
    </w:p>
    <w:p>
      <w:pPr>
        <w:pStyle w:val="TextBody"/>
        <w:bidi w:val="0"/>
        <w:spacing w:before="240" w:after="0"/>
        <w:jc w:val="both"/>
        <w:rPr>
          <w:rFonts w:ascii="Times New Roman" w:hAnsi="Times New Roman"/>
          <w:sz w:val="20"/>
        </w:rPr>
      </w:pPr>
      <w:r>
        <w:rPr>
          <w:rFonts w:ascii="Times New Roman" w:hAnsi="Times New Roman"/>
          <w:i/>
          <w:sz w:val="20"/>
        </w:rPr>
        <w:t>Director Compensation Limit.</w:t>
      </w:r>
      <w:r>
        <w:rPr>
          <w:rFonts w:ascii="Times New Roman" w:hAnsi="Times New Roman"/>
          <w:sz w:val="20"/>
        </w:rPr>
        <w:t xml:space="preserve"> No non-employee director may receive awards under our 2024 Plan with a grant date value that when combined with cash compensation received for his or her service as a director, exceeds $750,000 in a calendar year or $1,000,000 in the calendar year of his or her initial service as a non-employee director with us. </w:t>
      </w:r>
    </w:p>
    <w:p>
      <w:pPr>
        <w:pStyle w:val="TextBody"/>
        <w:bidi w:val="0"/>
        <w:spacing w:before="240" w:after="0"/>
        <w:jc w:val="both"/>
        <w:rPr>
          <w:rFonts w:ascii="Times New Roman" w:hAnsi="Times New Roman"/>
          <w:sz w:val="20"/>
        </w:rPr>
      </w:pPr>
      <w:r>
        <w:rPr>
          <w:rFonts w:ascii="Times New Roman" w:hAnsi="Times New Roman"/>
          <w:i/>
          <w:sz w:val="20"/>
        </w:rPr>
        <w:t>Clawback and Transferability.</w:t>
      </w:r>
      <w:r>
        <w:rPr>
          <w:rFonts w:ascii="Times New Roman" w:hAnsi="Times New Roman"/>
          <w:sz w:val="20"/>
        </w:rPr>
        <w:t xml:space="preserve"> All awards will be subject to clawback or recoupment pursuant to any compensation clawback or recoupment policy adopted by our board of directors or our Committee or required by law during the term of service of the award holder, to the extent set forth in such policy or applicable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Except in limited circumstances, awards granted under our 2024 Plan may generally not be transferred in any manner prior to vesting other than by will or by the laws of descent and distribution. </w:t>
      </w:r>
    </w:p>
    <w:p>
      <w:pPr>
        <w:pStyle w:val="TextBody"/>
        <w:bidi w:val="0"/>
        <w:spacing w:before="240" w:after="0"/>
        <w:jc w:val="both"/>
        <w:rPr>
          <w:rFonts w:ascii="Times New Roman" w:hAnsi="Times New Roman"/>
          <w:sz w:val="20"/>
        </w:rPr>
      </w:pPr>
      <w:r>
        <w:rPr>
          <w:rFonts w:ascii="Times New Roman" w:hAnsi="Times New Roman"/>
          <w:i/>
          <w:sz w:val="20"/>
        </w:rPr>
        <w:t>Sub-Plans.</w:t>
      </w:r>
      <w:r>
        <w:rPr>
          <w:rFonts w:ascii="Times New Roman" w:hAnsi="Times New Roman"/>
          <w:sz w:val="20"/>
        </w:rPr>
        <w:t xml:space="preserve"> Subject to the terms of the 2024 Plan, the Committee may establish one or more sub-plans under the 2024 Plan and/or modify the terms of awards granted to participants outside of the United States to comply with any laws or regulations applicable to any such jurisdiction. </w:t>
      </w:r>
    </w:p>
    <w:p>
      <w:pPr>
        <w:pStyle w:val="TextBody"/>
        <w:bidi w:val="0"/>
        <w:spacing w:before="240" w:after="0"/>
        <w:jc w:val="both"/>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Our board of directors may amend our 2024 Plan at any time, subject to stockholder approval as may be required. Our 2024 Plan will terminate ten years from the date our board of directors adopts the plan, unless it is terminated earlier by our board of directors. No termination or amendment of the 2024 Plan may adversely affect any then-outstanding award without the consent of the affected participant, except as is necessary to comply with applicable laws or as otherwise provided by the terms of the 2024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240" w:after="0"/>
        <w:jc w:val="both"/>
        <w:rPr>
          <w:rFonts w:ascii="Times New Roman" w:hAnsi="Times New Roman"/>
          <w:sz w:val="20"/>
        </w:rPr>
      </w:pPr>
      <w:r>
        <w:rPr>
          <w:rFonts w:ascii="Times New Roman" w:hAnsi="Times New Roman"/>
          <w:sz w:val="20"/>
        </w:rPr>
        <w:t xml:space="preserve">We have adopted our ESPP that became effective on the date of the effectiveness of the registration statement of which this prospectus forms a part in order to enable eligible employees to purchase shares of our common stock with accumulated payroll deductions at a discount beginning on a date to be determined by our board of directors or our Committee. Our ESPP is intended to qualify under Section 423 of the Code </w:t>
      </w:r>
      <w:r>
        <w:rPr>
          <w:rFonts w:ascii="Times New Roman" w:hAnsi="Times New Roman"/>
          <w:i/>
          <w:sz w:val="20"/>
        </w:rPr>
        <w:t xml:space="preserve">provided that </w:t>
      </w:r>
      <w:r>
        <w:rPr>
          <w:rFonts w:ascii="Times New Roman" w:hAnsi="Times New Roman"/>
          <w:sz w:val="20"/>
        </w:rPr>
        <w:t xml:space="preserve">the Committee may adopt sub-plans under our ESPP designed to be outside of the scope of Section 423 of the Code for participants who are non-U.S. residents. </w:t>
      </w:r>
    </w:p>
    <w:p>
      <w:pPr>
        <w:pStyle w:val="TextBody"/>
        <w:bidi w:val="0"/>
        <w:spacing w:before="240" w:after="0"/>
        <w:jc w:val="both"/>
        <w:rPr>
          <w:rFonts w:ascii="Times New Roman" w:hAnsi="Times New Roman"/>
          <w:sz w:val="20"/>
        </w:rPr>
      </w:pPr>
      <w:r>
        <w:rPr>
          <w:rFonts w:ascii="Times New Roman" w:hAnsi="Times New Roman"/>
          <w:i/>
          <w:sz w:val="20"/>
        </w:rPr>
        <w:t>Shares Available.</w:t>
      </w:r>
      <w:r>
        <w:rPr>
          <w:rFonts w:ascii="Times New Roman" w:hAnsi="Times New Roman"/>
          <w:sz w:val="20"/>
        </w:rPr>
        <w:t xml:space="preserve"> We have initially reserved 330,000 shares of our common stock for sale under our ESPP. The aggregate number of shares reserved for sale under our ESPP will increase automatically on January 1st of each of the first ten calendar years after the first offering date by the number of shares equal to the lesser of 1% of the aggregate number of shares of all classes of our common stock, plus the total number of shares of our common stock or exercise of any pre-funded warrants, as issued and outstanding as of the immediately preceding December 31 (rounded to the nearest whole share) or a number of shares as may be determined by our board of directors or our Committee in any particular year. The aggregate number of shares issued over the term of our ESPP, subject to stock-splits, recapitalizations or similar events, may not exceed 3,300,000 shares of our common stock. </w:t>
      </w:r>
    </w:p>
    <w:p>
      <w:pPr>
        <w:pStyle w:val="TextBody"/>
        <w:bidi w:val="0"/>
        <w:spacing w:before="240" w:after="0"/>
        <w:jc w:val="both"/>
        <w:rPr>
          <w:rFonts w:ascii="Times New Roman" w:hAnsi="Times New Roman"/>
          <w:sz w:val="20"/>
        </w:rPr>
      </w:pPr>
      <w:r>
        <w:rPr>
          <w:rFonts w:ascii="Times New Roman" w:hAnsi="Times New Roman"/>
          <w:i/>
          <w:sz w:val="20"/>
        </w:rPr>
        <w:t>Administration.</w:t>
      </w:r>
      <w:r>
        <w:rPr>
          <w:rFonts w:ascii="Times New Roman" w:hAnsi="Times New Roman"/>
          <w:sz w:val="20"/>
        </w:rPr>
        <w:t xml:space="preserve"> Our ESPP is expected to be administered by our Committee, or by our board of directors acting in place of our Committee. Among other things, the Committee will have the authority to determine eligibility for participation in the ESPP, designate separate offerings under the plan, and construe, interpret and apply the terms of the plan. </w:t>
      </w:r>
    </w:p>
    <w:p>
      <w:pPr>
        <w:pStyle w:val="TextBody"/>
        <w:bidi w:val="0"/>
        <w:spacing w:before="240" w:after="0"/>
        <w:jc w:val="both"/>
        <w:rPr>
          <w:rFonts w:ascii="Times New Roman" w:hAnsi="Times New Roman"/>
          <w:sz w:val="20"/>
        </w:rPr>
      </w:pPr>
      <w:r>
        <w:rPr>
          <w:rFonts w:ascii="Times New Roman" w:hAnsi="Times New Roman"/>
          <w:i/>
          <w:sz w:val="20"/>
        </w:rPr>
        <w:t>Eligibility.</w:t>
      </w:r>
      <w:r>
        <w:rPr>
          <w:rFonts w:ascii="Times New Roman" w:hAnsi="Times New Roman"/>
          <w:sz w:val="20"/>
        </w:rPr>
        <w:t xml:space="preserve"> Employees eligible to participate in any offering pursuant to the ESPP generally include any employee that is employed by us or certain of our designated subsidiaries at the beginning of the offering period. However, our Committee may determine that employees who have been employed for less than such time period as specified by the Committee, are customarily employed for 20 hours or less per week, or for five months or less in a calendar year, or certain highly-compensated employees as determined in accordance with applicable tax laws, may not be eligible to participate in the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ESPP, will not be eligible to participate in the ESPP. Our Committee may impose additional restrictions on eligibility from time to time, as permitted by applicable law. </w:t>
      </w:r>
    </w:p>
    <w:p>
      <w:pPr>
        <w:pStyle w:val="TextBody"/>
        <w:bidi w:val="0"/>
        <w:spacing w:before="240" w:after="0"/>
        <w:jc w:val="both"/>
        <w:rPr>
          <w:rFonts w:ascii="Times New Roman" w:hAnsi="Times New Roman"/>
          <w:sz w:val="20"/>
        </w:rPr>
      </w:pPr>
      <w:r>
        <w:rPr>
          <w:rFonts w:ascii="Times New Roman" w:hAnsi="Times New Roman"/>
          <w:i/>
          <w:sz w:val="20"/>
        </w:rPr>
        <w:t>Offerings.</w:t>
      </w:r>
      <w:r>
        <w:rPr>
          <w:rFonts w:ascii="Times New Roman" w:hAnsi="Times New Roman"/>
          <w:sz w:val="20"/>
        </w:rPr>
        <w:t xml:space="preserve"> Under our ESPP, eligible employees will be offered the option to purchase shares of our common stock at a discount over a series of offering periods, which may be consecutive or overlapping, through accumulated payroll deductions over the period. Each offering period may itself consist of one or more purchase periods. No offering period may be longer than 27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 participant may purchase more than 2,500 shares of our common stock during any one purchase period (or such higher or lower number of shares as may be determined by the Committee in its discretion), and may not subscribe for more than $25,000 in fair market value of shares of our common stock (determined as of the date the offering period commences) in any calendar year in which the offering is in effect. </w:t>
      </w:r>
    </w:p>
    <w:p>
      <w:pPr>
        <w:pStyle w:val="TextBody"/>
        <w:bidi w:val="0"/>
        <w:spacing w:before="240" w:after="0"/>
        <w:jc w:val="both"/>
        <w:rPr>
          <w:rFonts w:ascii="Times New Roman" w:hAnsi="Times New Roman"/>
          <w:sz w:val="20"/>
        </w:rPr>
      </w:pPr>
      <w:r>
        <w:rPr>
          <w:rFonts w:ascii="Times New Roman" w:hAnsi="Times New Roman"/>
          <w:i/>
          <w:sz w:val="20"/>
        </w:rPr>
        <w:t>Participation.</w:t>
      </w:r>
      <w:r>
        <w:rPr>
          <w:rFonts w:ascii="Times New Roman" w:hAnsi="Times New Roman"/>
          <w:sz w:val="20"/>
        </w:rPr>
        <w:t xml:space="preserve"> Participating employees will be able to purchase the offered shares of our common stock by accumulating funds through payroll deductions. Participants may select a rate of payroll deduction between 1% and 15% of their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purchase price for shares of our common stock purchased under the ESPP will be 85% of the lesser of the fair market value of our common stock on (i) the first trading day of the applicable offering period or (ii) the last trading day of each purchase period in the applicable offering period. </w:t>
      </w:r>
    </w:p>
    <w:p>
      <w:pPr>
        <w:pStyle w:val="TextBody"/>
        <w:bidi w:val="0"/>
        <w:spacing w:before="240" w:after="0"/>
        <w:jc w:val="both"/>
        <w:rPr>
          <w:rFonts w:ascii="Times New Roman" w:hAnsi="Times New Roman"/>
          <w:sz w:val="20"/>
        </w:rPr>
      </w:pPr>
      <w:r>
        <w:rPr>
          <w:rFonts w:ascii="Times New Roman" w:hAnsi="Times New Roman"/>
          <w:sz w:val="20"/>
        </w:rPr>
        <w:t xml:space="preserve">Once an employee becomes a participant in an offering period, the participant will be automatically enrolled in each subsequent offering period at the same contribution level. A participant may reduce his or her contribution in accordance with procedures set forth by the Committee and may withdraw from participation in the ESPP at any time prior the end of an offering period, or such other time as may be specified by the Committee. Upon withdrawal, the accumulated payroll deductions will be returned to the participant without interest. </w:t>
      </w:r>
    </w:p>
    <w:p>
      <w:pPr>
        <w:pStyle w:val="TextBody"/>
        <w:bidi w:val="0"/>
        <w:spacing w:before="240" w:after="0"/>
        <w:jc w:val="both"/>
        <w:rPr>
          <w:rFonts w:ascii="Times New Roman" w:hAnsi="Times New Roman"/>
          <w:sz w:val="20"/>
        </w:rPr>
      </w:pPr>
      <w:r>
        <w:rPr>
          <w:rFonts w:ascii="Times New Roman" w:hAnsi="Times New Roman"/>
          <w:i/>
          <w:sz w:val="20"/>
        </w:rPr>
        <w:t>Adjustments Upon Recapitalization.</w:t>
      </w:r>
      <w:r>
        <w:rPr>
          <w:rFonts w:ascii="Times New Roman" w:hAnsi="Times New Roman"/>
          <w:sz w:val="20"/>
        </w:rPr>
        <w:t xml:space="preserve"> If the number of outstanding shares of our common stock is changed by stock dividend, recapitalization, stock split, reverse stock split, subdivision, combination, reclassification or similar change in our capital structure without consideration, then our Committee will proportionately adjust the number and class of common stock that is available under the ESPP, the purchase price and number of shares any participant has elected to purchase as well as the maximum number of shares which may be purchased by participants. </w:t>
      </w:r>
    </w:p>
    <w:p>
      <w:pPr>
        <w:pStyle w:val="TextBody"/>
        <w:bidi w:val="0"/>
        <w:spacing w:before="240" w:after="0"/>
        <w:jc w:val="both"/>
        <w:rPr>
          <w:rFonts w:ascii="Times New Roman" w:hAnsi="Times New Roman"/>
          <w:sz w:val="20"/>
        </w:rPr>
      </w:pPr>
      <w:r>
        <w:rPr>
          <w:rFonts w:ascii="Times New Roman" w:hAnsi="Times New Roman"/>
          <w:i/>
          <w:sz w:val="20"/>
        </w:rPr>
        <w:t>Change of Control.</w:t>
      </w:r>
      <w:r>
        <w:rPr>
          <w:rFonts w:ascii="Times New Roman" w:hAnsi="Times New Roman"/>
          <w:sz w:val="20"/>
        </w:rPr>
        <w:t xml:space="preserve"> In the event of a Corporate Transaction (as defined in the ESPP), each outstanding right to purchase common stock will be assumed or an equivalent option substituted by the successor corporation or a parent or a subsidiary of the successor corporation. In the event that the successor corporation refuses to assume or substitute for the purchase right, the offering period with respect to which such purchase right relates will be shortened by setting a new purchase date and will end on such new purchase date. The new purchase date will occur on or prior to the consummation of the Corporate Transaction, and the ESPP will terminate on the consummation of the Corporate Transaction. </w:t>
      </w:r>
    </w:p>
    <w:p>
      <w:pPr>
        <w:pStyle w:val="TextBody"/>
        <w:bidi w:val="0"/>
        <w:spacing w:before="240" w:after="0"/>
        <w:jc w:val="both"/>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assign, transfer, pledge or otherwise dispose of payroll deductions credited to his or her account, or any rights with regard to an election to purchase shares pursuant to the ESPP other than by will or the laws of descent or distribution. </w:t>
      </w:r>
    </w:p>
    <w:p>
      <w:pPr>
        <w:pStyle w:val="TextBody"/>
        <w:bidi w:val="0"/>
        <w:spacing w:before="240" w:after="0"/>
        <w:jc w:val="both"/>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The Committee may amend, suspend or terminate the ESPP at any time without stockholder consent, except to the extent such amendment would increase the number of shares available for issuance under our ESPP, change the class or designation of employees eligible for participation in the plan or otherwise as required by law. If our ESPP is terminated, the Committee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Our ESPP will continue until the earlier to occur of (a) termination of the ESPP by the Committee, (b) issuance of all of the shares reserved for issuance under the ESPP, or the tenth anniversary of the effective date of the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240" w:after="0"/>
        <w:jc w:val="both"/>
        <w:rPr>
          <w:rFonts w:ascii="Times New Roman" w:hAnsi="Times New Roman"/>
          <w:sz w:val="20"/>
        </w:rPr>
      </w:pPr>
      <w:r>
        <w:rPr>
          <w:rFonts w:ascii="Times New Roman" w:hAnsi="Times New Roman"/>
          <w:sz w:val="20"/>
        </w:rPr>
        <w:t xml:space="preserve">We sponsor a retirement savings plan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projected to reach 50 years of age or older during a calendar year may contribute additional amounts based on the statutory limits for catch-up contributions. Participant contributions are held in trust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Other Benefits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are eligible to participate in our employee benefit plans on the same basis as our other employees, including our health and welfare plans.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Our restated certificate of incorporation that will become effective immediately before the completion of this offering contains provisions that limit the liability of our directors and officers for monetary damages to the fullest extent permitted by the DGCL. Consequently, our directors and officers will not be personally liable to us or our stockholders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 directors or officers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directors, unlawful payments of dividends or unlawful stock repurchases or redemptions as provided in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or any transaction from which the director derived an improper personal benefit.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restated certificate of incorporation and our restated bylaws that will become effective immediately before the completion of this offering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 </w:t>
      </w:r>
    </w:p>
    <w:p>
      <w:pPr>
        <w:pStyle w:val="TextBody"/>
        <w:bidi w:val="0"/>
        <w:spacing w:before="240" w:after="0"/>
        <w:jc w:val="both"/>
        <w:rPr>
          <w:rFonts w:ascii="Times New Roman" w:hAnsi="Times New Roman"/>
          <w:sz w:val="20"/>
        </w:rPr>
      </w:pPr>
      <w:r>
        <w:rPr>
          <w:rFonts w:ascii="Times New Roman" w:hAnsi="Times New Roman"/>
          <w:sz w:val="20"/>
        </w:rPr>
        <w:t xml:space="preserve">We have entered, and intend to continue to enter, into separate indemnification agreements with our directors, executive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these indemnification provisions and agreements are necessary to attract and retain qualified directors, officers and key employees. We also maintain directors and officers liability insurance.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bidi w:val="0"/>
        <w:spacing w:before="240" w:after="0"/>
        <w:jc w:val="both"/>
        <w:rPr>
          <w:rFonts w:ascii="Times New Roman" w:hAnsi="Times New Roman"/>
          <w:sz w:val="20"/>
        </w:rPr>
      </w:pPr>
      <w:r>
        <w:rPr>
          <w:rFonts w:ascii="Times New Roman" w:hAnsi="Times New Roman"/>
          <w:sz w:val="20"/>
        </w:rPr>
        <w:t xml:space="preserve">At present, there is no pending litigation or proceeding involving any of our directors or executive officers as to which indemnification is required or permitted, and we are not aware of any threatened litigation or proceeding that may result in a claim for 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we have been informed that, in the opinion of the SEC,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35745_13"/>
      <w:bookmarkEnd w:id="15"/>
      <w:r>
        <w:rPr>
          <w:rFonts w:ascii="Times New Roman" w:hAnsi="Times New Roman"/>
          <w:b/>
          <w:sz w:val="20"/>
        </w:rPr>
        <w:t xml:space="preserve">CERTAIN RELATIONSHIPS AND RELATED 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compensation arrangements, including any employment, termination of employment and change in control arrangements, with our directors and executive officers, including those discussed in the sections titled Management and Executive Compensation, the following is a description of each transaction since January 1, 2021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involved exceeded or will exceed the lesser of $120,000 and 1% of our total assets at year-end for the last two completed fiscal years;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of our directors, executive officers or holders of more than 5% of our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D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two closings in February 2024, we sold an aggregate of 49,713,402 shares of our Series D redeemable convertible preferred stock (Series D Preferred Stock) at a price per share of $3.4196 for total gross proceeds of approximately $170.0 million (the Series D Preferred Stock Financing). Each share of our Series D Preferred Stock will automatically convert into 0.224084614 shares of our common stock in connection with the completion of this offering. Pursuant to the current investors rights agreement, as described below, holders of our Series D Preferred Stock are entitled to certain registration rights. See the section titled Description of Capital StockRegistration Rights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Note Purchase Agreement dated as of February 10, 2023, in February 2023 and March 2023, we issued convertible promissory notes with an aggregate of $23.5 million, which were cancelled and converted in connection with the Series D Preferred Stock Financing into a total of 11,887,535 shares of our Series D-1 redeemable convertible preferred stock (Series D-1 Preferred Stock) pursuant to the Series D Preferred Stock Purchase Agreement dated as of February 1, 2024.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the Series D Preferred Stock and Series D-1 Preferred Stock purchased by members of our board of directors or their affiliates and holders of more than 5% of our outstanding capital stock. Please refer to the section titled Principal Stockholders for additional information regarding the shares held by these entities.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65"/>
        <w:gridCol w:w="132"/>
        <w:gridCol w:w="60"/>
        <w:gridCol w:w="989"/>
        <w:gridCol w:w="60"/>
        <w:gridCol w:w="132"/>
        <w:gridCol w:w="60"/>
        <w:gridCol w:w="989"/>
        <w:gridCol w:w="60"/>
        <w:gridCol w:w="132"/>
        <w:gridCol w:w="141"/>
        <w:gridCol w:w="1121"/>
        <w:gridCol w:w="64"/>
      </w:tblGrid>
      <w:tr>
        <w:trPr/>
        <w:tc>
          <w:tcPr>
            <w:tcW w:w="626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32"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Series D</w:t>
              <w:br/>
              <w:t>Preferred</w:t>
              <w:br/>
              <w:t>Stock</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Series D-1</w:t>
              <w:br/>
              <w:t>Preferred</w:t>
              <w:br/>
              <w:t>Stock</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w:t>
              <w:br/>
              <w:t>Price</w:t>
            </w:r>
          </w:p>
        </w:tc>
        <w:tc>
          <w:tcPr>
            <w:tcW w:w="64"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Andreessen Horowitz(1)</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2,924,318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9,999,998</w:t>
            </w:r>
          </w:p>
        </w:tc>
        <w:tc>
          <w:tcPr>
            <w:tcW w:w="64" w:type="dxa"/>
            <w:tcBorders/>
            <w:shd w:fill="CCEEFF" w:val="clear"/>
            <w:vAlign w:val="bottom"/>
          </w:tcPr>
          <w:p>
            <w:pPr>
              <w:pStyle w:val="TableContents"/>
              <w:bidi w:val="0"/>
              <w:spacing w:before="0" w:after="283"/>
              <w:jc w:val="left"/>
              <w:rPr/>
            </w:pPr>
            <w:r>
              <w:rPr/>
              <w:t> </w:t>
            </w:r>
          </w:p>
        </w:tc>
      </w:tr>
      <w:tr>
        <w:trPr/>
        <w:tc>
          <w:tcPr>
            <w:tcW w:w="626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Cormorant(2)</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5,263,772</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17,999,995</w:t>
            </w:r>
          </w:p>
        </w:tc>
        <w:tc>
          <w:tcPr>
            <w:tcW w:w="64"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Entitles affiliated with Longitude Venture Partners IV, L.P.(3)</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5,848,637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19,999,999</w:t>
            </w:r>
          </w:p>
        </w:tc>
        <w:tc>
          <w:tcPr>
            <w:tcW w:w="64" w:type="dxa"/>
            <w:tcBorders/>
            <w:shd w:fill="CCEEFF" w:val="clear"/>
            <w:vAlign w:val="bottom"/>
          </w:tcPr>
          <w:p>
            <w:pPr>
              <w:pStyle w:val="TableContents"/>
              <w:bidi w:val="0"/>
              <w:spacing w:before="0" w:after="283"/>
              <w:jc w:val="left"/>
              <w:rPr/>
            </w:pPr>
            <w:r>
              <w:rPr/>
              <w:t> </w:t>
            </w:r>
          </w:p>
        </w:tc>
      </w:tr>
      <w:tr>
        <w:trPr/>
        <w:tc>
          <w:tcPr>
            <w:tcW w:w="626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Sofinnova Venture Partners XI, L.P.(4)</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7,310,796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24,999,998</w:t>
            </w:r>
          </w:p>
        </w:tc>
        <w:tc>
          <w:tcPr>
            <w:tcW w:w="64"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Capital(5)</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5,848,636</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19,999,996</w:t>
            </w:r>
          </w:p>
        </w:tc>
        <w:tc>
          <w:tcPr>
            <w:tcW w:w="64" w:type="dxa"/>
            <w:tcBorders/>
            <w:shd w:fill="CCEEFF" w:val="clear"/>
            <w:vAlign w:val="bottom"/>
          </w:tcPr>
          <w:p>
            <w:pPr>
              <w:pStyle w:val="TableContents"/>
              <w:bidi w:val="0"/>
              <w:spacing w:before="0" w:after="283"/>
              <w:jc w:val="left"/>
              <w:rPr/>
            </w:pPr>
            <w:r>
              <w:rPr/>
              <w:t> </w:t>
            </w:r>
          </w:p>
        </w:tc>
      </w:tr>
      <w:tr>
        <w:trPr/>
        <w:tc>
          <w:tcPr>
            <w:tcW w:w="626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Khosla Ventures(6)</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6,076,054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12,466,849</w:t>
            </w:r>
          </w:p>
        </w:tc>
        <w:tc>
          <w:tcPr>
            <w:tcW w:w="64"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Horsley Bridge(7)</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5,054,298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10,370,411</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D Preferred Stock purchased by AH Bio Fund IV, LP, as nominee. AH Bio Fund IV, LP is affiliated with Andreessen Horowitz, which together with its affiliates, beneficially holds more than 5% of our outstanding capital stock. Dr. Pande, a member of our board of directors, is affiliated with Andreessen Horowitz.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D Preferred Stock purchased by Cormorant Private Healthcare Fund IV, LP and Cormorant Global Healthcare Master Fund, LP, which together with its affiliates, beneficially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D Preferred Stock purchased by Longitude Venture Partners IV, L.P. Longitude Venture Partners IV, L.P. beneficially holds more than 5% of our outstanding capital stock. Mr. Enright, a member of our board of directors, is affiliated with the Longitude Venture Partners IV,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shares of our Series D Preferred Stock purchased by Sofinnova Venture Partners XI, L.P., which together with its affiliates beneficially holds more than 5% of our outstanding capital stock. Dr. Healy, a member of our board of directors, is affiliated with Sofinnova Venture Partners XI,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our Series D Preferred Stock purchased by RA Capital Healthcare Fund, L.P. and RA Capital Nexus Fund III, L.P., which together beneficially hold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our Series D-1 Preferred Stock purchased by Khosla Ventures Opportunity I, LP. Khosla Ventures Opportunity I, LP is associated with Khosla Ventures, which together with its affiliates, beneficially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our Series D-1 Preferred Stock purchased by Horsley Bridge Venture 14, L.P. and Horsley Bridge Venture 14+, L.P., which together beneficially hold more than 5% of our outstanding capital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our Series D Preferred Stock Financing, we entered into the investors rights agreement (IRA) with certain holders of our redeemable convertible preferred stock, including entities with which certain of our directors are affiliated and who hold more than 5% of our outstanding common stock. Under the IRA, these stockholders are entitled to rights with respect to the registration of their shares under the Securities Act following this offering and the provisions relating registration rights included in the IRA will not terminate as a result of this offering. See the section titled Description of Capital StockRegistration Rights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both"/>
        <w:rPr>
          <w:rFonts w:ascii="Times New Roman" w:hAnsi="Times New Roman"/>
          <w:sz w:val="20"/>
        </w:rPr>
      </w:pPr>
      <w:r>
        <w:rPr>
          <w:rFonts w:ascii="Times New Roman" w:hAnsi="Times New Roman"/>
          <w:sz w:val="20"/>
        </w:rPr>
        <w:t xml:space="preserve">At our request, the underwriters have reserved up to 5% of the shares offered by this prospectus for sale at the initial public offering price to certain individuals through a directed share program, including our directors, officers, employees, business associates and related persons. Each participant in the directed share program will agree that any shares purchased through this program will be subject to a 180-day lock-up restriction. See the section titled Underwriting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Concurrent Private Placement </w:t>
      </w:r>
    </w:p>
    <w:p>
      <w:pPr>
        <w:pStyle w:val="TextBody"/>
        <w:bidi w:val="0"/>
        <w:spacing w:before="120" w:after="0"/>
        <w:jc w:val="both"/>
        <w:rPr>
          <w:rFonts w:ascii="Times New Roman" w:hAnsi="Times New Roman"/>
          <w:sz w:val="20"/>
        </w:rPr>
      </w:pPr>
      <w:r>
        <w:rPr>
          <w:rFonts w:ascii="Times New Roman" w:hAnsi="Times New Roman"/>
          <w:sz w:val="20"/>
        </w:rPr>
        <w:t xml:space="preserve">Sofinnova Venture Partners XI, L.P., a beneficial owner of more than 5% of our outstanding capital stock and an affiliate of Dr. Healy, a member of our board of directors, will purchase from us approximately $10.6 million in shares of our common stock in a concurrent private placement exempt from the registration requirements of the Securities Act of 1933, as amended, at a per share price equal to the initial public offering price of $18.00 per share (588,888 shares). The private placement will close concurrently with, and is contingent and conditioned upon consummation of, this offering, as well as certain other customary closing conditions. However, this offering is not contingent on the closing of the concurrent private placement. In connection with the concurrent private placement, we have entered into a stock purchase agreement with Sofinnova Venture Partners XI L.P. In addition, an affiliate of Sofinnova Venture Partners, XI, L.P. is expected to invest up to $1.4 million directly in the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with Immediate Family Members of our Executive Officers and Directors </w:t>
      </w:r>
    </w:p>
    <w:p>
      <w:pPr>
        <w:pStyle w:val="TextBody"/>
        <w:bidi w:val="0"/>
        <w:spacing w:before="120" w:after="0"/>
        <w:jc w:val="both"/>
        <w:rPr>
          <w:rFonts w:ascii="Times New Roman" w:hAnsi="Times New Roman"/>
          <w:sz w:val="20"/>
        </w:rPr>
      </w:pPr>
      <w:r>
        <w:rPr>
          <w:rFonts w:ascii="Times New Roman" w:hAnsi="Times New Roman"/>
          <w:sz w:val="20"/>
        </w:rPr>
        <w:t xml:space="preserve">Justin Rebo, M.D., the spouse of Dr. Fortney, our Chief Executive Officer, is employed by the Company in a non-executive officer position. Dr. Rebo received total compensation with respect to base salary, bonus, and the grant date fair value of options of (i) $684,036 in 2021 and (ii) $308,477 in 2022. Dr. Rebos compensation and stock option grants were established by the Company in accordance with its compensation practices applicable to employees with comparable qualifications and responsibilities and holding similar positions and without the involvement of Dr. Fortney. </w:t>
      </w:r>
    </w:p>
    <w:p>
      <w:pPr>
        <w:pStyle w:val="TextBody"/>
        <w:bidi w:val="0"/>
        <w:spacing w:before="240" w:after="0"/>
        <w:jc w:val="both"/>
        <w:rPr>
          <w:rFonts w:ascii="Times New Roman" w:hAnsi="Times New Roman"/>
          <w:sz w:val="20"/>
        </w:rPr>
      </w:pPr>
      <w:r>
        <w:rPr>
          <w:rFonts w:ascii="Times New Roman" w:hAnsi="Times New Roman"/>
          <w:sz w:val="20"/>
        </w:rPr>
        <w:t xml:space="preserve">Lingling Chen, M.D., the spouse of Dr. Morgen, our Chief Operating Officer, is employed by the Company in a non-executive officer position. Dr. Chen received total compensation with respect to base salary, bonus,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grant date fair value of options of (i) $300,044 in 2021, (ii) $338,487 in 2022 and (iii) $347,824 in 2023. Dr. Chens compensation and stock option grants were established by the Company in accordance with its compensation practices applicable to employees with comparable qualifications and responsibilities and holding similar positions and without the involvement of Dr. Morgen.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and in connection with this offering we intend to enter into, indemnification agreements with our directors and executive officers. The indemnification agreements, our restated certificate of incorporation and our restated bylaws will require us to indemnify our directors to the fullest extent permitted by Delaware law. Subject to certain limitations, our restated bylaws also require us to advance expenses incurred by our directors and executive officers. See the section titled Executive CompensationLimitations on Liability and Indemnification Matters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have adopted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35745_14"/>
      <w:bookmarkEnd w:id="16"/>
      <w:r>
        <w:rPr>
          <w:rFonts w:ascii="Times New Roman" w:hAnsi="Times New Roman"/>
          <w:b/>
          <w:sz w:val="20"/>
        </w:rPr>
        <w:t xml:space="preserve">PRINCIPAL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and accompanying footnotes set forth certain information with respect to the beneficial ownership of shares of our common stock as of August 20, 2024, and as adjusted to reflect the shares of our common stock to be issued and sold in this offering,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of our current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person, or group of affiliated persons, known by us to be the beneficial owner of more than 5% of the outstanding shares of our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determined beneficial ownership in accordance with the rules of the SEC. Except as indicated by the footnotes below, to our knowledge, the persons and entities named in the table below have sole voting and sole investment power with respect to all shares of our common stock that they beneficially owned, subject to applicable community property laws. </w:t>
      </w:r>
    </w:p>
    <w:p>
      <w:pPr>
        <w:pStyle w:val="TextBody"/>
        <w:bidi w:val="0"/>
        <w:spacing w:before="240" w:after="0"/>
        <w:jc w:val="both"/>
        <w:rPr>
          <w:rFonts w:ascii="Times New Roman" w:hAnsi="Times New Roman"/>
          <w:sz w:val="20"/>
        </w:rPr>
      </w:pPr>
      <w:r>
        <w:rPr>
          <w:rFonts w:ascii="Times New Roman" w:hAnsi="Times New Roman"/>
          <w:sz w:val="20"/>
        </w:rPr>
        <w:t xml:space="preserve">The percentage of shares beneficially owned prior to this offering and concurrent private placement is based on 22,578,296 shares of our common stock outstanding as of August 20, 2024, assuming the automatic conversion of all outstanding shares of our convertible preferred stock into 20,854,632 shares of our common stock in connection with the completion of this offering and the concurrent private placement. The percentage of beneficial ownership after this offering is based on 34,167,184 shares of our common stock outstanding, assuming (i) the automatic conversion of all outstanding shares of our redeemable convertible preferred stock into shares of our common stock as described above (ii) the issuance of 11,000,000 shares of our common stock in this offering and (iii) 588,888 shares of common stock issued in the concurrent private placement, assuming that the underwriters do not exercise their option to purchase additional shares in part or in full. In computing the number of shares of common stock beneficially owned by a person and the percentage ownership of that person, we deemed to be outstanding all shares of common stock subject to stock options held by that person or entity that are currently exercisable or that will become exercisable within 60 days of August 20, 2024. We did not deem these shares outstanding, however, for the purpose of computing the percentage ownership of any other person. The table below excludes any purchases that may be made through our directed share program and any potential purchases in this offering by the beneficial owners identified in the table below.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of each beneficial owner listed in the table below is c/o BioAge Labs, Inc., 1445A South 50th Street, Richmond, CA 948064.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73"/>
        <w:gridCol w:w="187"/>
        <w:gridCol w:w="69"/>
        <w:gridCol w:w="1222"/>
        <w:gridCol w:w="69"/>
        <w:gridCol w:w="203"/>
        <w:gridCol w:w="76"/>
        <w:gridCol w:w="786"/>
        <w:gridCol w:w="276"/>
        <w:gridCol w:w="136"/>
        <w:gridCol w:w="69"/>
        <w:gridCol w:w="1222"/>
        <w:gridCol w:w="69"/>
        <w:gridCol w:w="203"/>
        <w:gridCol w:w="76"/>
        <w:gridCol w:w="786"/>
        <w:gridCol w:w="283"/>
      </w:tblGrid>
      <w:tr>
        <w:trPr/>
        <w:tc>
          <w:tcPr>
            <w:tcW w:w="4473"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473"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prior to this offering</w:t>
            </w:r>
          </w:p>
        </w:tc>
        <w:tc>
          <w:tcPr>
            <w:tcW w:w="2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after this offering</w:t>
            </w:r>
          </w:p>
        </w:tc>
        <w:tc>
          <w:tcPr>
            <w:tcW w:w="283" w:type="dxa"/>
            <w:tcBorders/>
            <w:vAlign w:val="bottom"/>
          </w:tcPr>
          <w:p>
            <w:pPr>
              <w:pStyle w:val="TableContents"/>
              <w:bidi w:val="0"/>
              <w:spacing w:before="0" w:after="283"/>
              <w:jc w:val="left"/>
              <w:rPr/>
            </w:pPr>
            <w:r>
              <w:rPr/>
              <w:t> </w:t>
            </w:r>
          </w:p>
        </w:tc>
      </w:tr>
      <w:tr>
        <w:trPr/>
        <w:tc>
          <w:tcPr>
            <w:tcW w:w="44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87"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w:t>
            </w:r>
          </w:p>
        </w:tc>
        <w:tc>
          <w:tcPr>
            <w:tcW w:w="2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w:t>
            </w:r>
          </w:p>
        </w:tc>
        <w:tc>
          <w:tcPr>
            <w:tcW w:w="283"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8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Kristen Fortney, Ph.D.(1)</w:t>
            </w:r>
          </w:p>
        </w:tc>
        <w:tc>
          <w:tcPr>
            <w:tcW w:w="18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2,327,839</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9.82</w:t>
            </w:r>
          </w:p>
        </w:tc>
        <w:tc>
          <w:tcPr>
            <w:tcW w:w="2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2,327,839</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6.60</w:t>
            </w:r>
          </w:p>
        </w:tc>
        <w:tc>
          <w:tcPr>
            <w:tcW w:w="283"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Morgen, M.D.(2)</w:t>
            </w:r>
          </w:p>
        </w:tc>
        <w:tc>
          <w:tcPr>
            <w:tcW w:w="18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549,939</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2.38</w:t>
            </w:r>
          </w:p>
        </w:tc>
        <w:tc>
          <w:tcPr>
            <w:tcW w:w="2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549,939</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1.59</w:t>
            </w:r>
          </w:p>
        </w:tc>
        <w:tc>
          <w:tcPr>
            <w:tcW w:w="283" w:type="dxa"/>
            <w:tcBorders/>
            <w:shd w:fill="CCEEFF" w:val="clear"/>
            <w:vAlign w:val="bottom"/>
          </w:tcPr>
          <w:p>
            <w:pPr>
              <w:pStyle w:val="TableContents"/>
              <w:bidi w:val="0"/>
              <w:spacing w:before="0" w:after="283"/>
              <w:jc w:val="left"/>
              <w:rPr/>
            </w:pPr>
            <w:r>
              <w:rPr/>
              <w:t>% </w:t>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Paul Rubin, M.D.(3)</w:t>
            </w:r>
          </w:p>
        </w:tc>
        <w:tc>
          <w:tcPr>
            <w:tcW w:w="18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334,168</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1.46</w:t>
            </w:r>
          </w:p>
        </w:tc>
        <w:tc>
          <w:tcPr>
            <w:tcW w:w="2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334,168</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Jean-Pierre Garnier, Ph.D.(4)</w:t>
            </w:r>
          </w:p>
        </w:tc>
        <w:tc>
          <w:tcPr>
            <w:tcW w:w="18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141,609</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141,609</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Michael Davidson(5)</w:t>
            </w:r>
          </w:p>
        </w:tc>
        <w:tc>
          <w:tcPr>
            <w:tcW w:w="18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5,664</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5,664</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Patrick Enright(6)</w:t>
            </w:r>
          </w:p>
        </w:tc>
        <w:tc>
          <w:tcPr>
            <w:tcW w:w="18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1,310,589</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5.80</w:t>
            </w:r>
          </w:p>
        </w:tc>
        <w:tc>
          <w:tcPr>
            <w:tcW w:w="2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1,310,589</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3.84</w:t>
            </w:r>
          </w:p>
        </w:tc>
        <w:tc>
          <w:tcPr>
            <w:tcW w:w="283" w:type="dxa"/>
            <w:tcBorders/>
            <w:shd w:fill="CCEEFF" w:val="clear"/>
            <w:vAlign w:val="bottom"/>
          </w:tcPr>
          <w:p>
            <w:pPr>
              <w:pStyle w:val="TableContents"/>
              <w:bidi w:val="0"/>
              <w:spacing w:before="0" w:after="283"/>
              <w:jc w:val="left"/>
              <w:rPr/>
            </w:pPr>
            <w:r>
              <w:rPr/>
              <w:t>% </w:t>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James Healy, M.D., Ph.D.(7)</w:t>
            </w:r>
          </w:p>
        </w:tc>
        <w:tc>
          <w:tcPr>
            <w:tcW w:w="18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1,638,236</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7.26</w:t>
            </w:r>
          </w:p>
        </w:tc>
        <w:tc>
          <w:tcPr>
            <w:tcW w:w="2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1,638,236</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4.79</w:t>
            </w:r>
          </w:p>
        </w:tc>
        <w:tc>
          <w:tcPr>
            <w:tcW w:w="283"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Rekha Hemrajani(8)</w:t>
            </w:r>
          </w:p>
        </w:tc>
        <w:tc>
          <w:tcPr>
            <w:tcW w:w="18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39,921</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39,921</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Vijay Pande, Ph.D.(9)</w:t>
            </w:r>
          </w:p>
        </w:tc>
        <w:tc>
          <w:tcPr>
            <w:tcW w:w="187"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(10 persons)(10)</w:t>
            </w:r>
          </w:p>
        </w:tc>
        <w:tc>
          <w:tcPr>
            <w:tcW w:w="187"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6,577,465</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26.41</w:t>
            </w:r>
          </w:p>
        </w:tc>
        <w:tc>
          <w:tcPr>
            <w:tcW w:w="2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6,577,465</w:t>
            </w:r>
          </w:p>
        </w:tc>
        <w:tc>
          <w:tcPr>
            <w:tcW w:w="6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17.90</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489"/>
        <w:gridCol w:w="185"/>
        <w:gridCol w:w="74"/>
        <w:gridCol w:w="1243"/>
        <w:gridCol w:w="74"/>
        <w:gridCol w:w="209"/>
        <w:gridCol w:w="95"/>
        <w:gridCol w:w="725"/>
        <w:gridCol w:w="275"/>
        <w:gridCol w:w="134"/>
        <w:gridCol w:w="74"/>
        <w:gridCol w:w="1243"/>
        <w:gridCol w:w="74"/>
        <w:gridCol w:w="209"/>
        <w:gridCol w:w="95"/>
        <w:gridCol w:w="725"/>
        <w:gridCol w:w="282"/>
      </w:tblGrid>
      <w:tr>
        <w:trPr/>
        <w:tc>
          <w:tcPr>
            <w:tcW w:w="448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48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prior to this offering</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after this offering</w:t>
            </w:r>
          </w:p>
        </w:tc>
        <w:tc>
          <w:tcPr>
            <w:tcW w:w="282" w:type="dxa"/>
            <w:tcBorders/>
            <w:vAlign w:val="bottom"/>
          </w:tcPr>
          <w:p>
            <w:pPr>
              <w:pStyle w:val="TableContents"/>
              <w:bidi w:val="0"/>
              <w:spacing w:before="0" w:after="283"/>
              <w:jc w:val="left"/>
              <w:rPr/>
            </w:pPr>
            <w:r>
              <w:rPr/>
              <w:t> </w:t>
            </w:r>
          </w:p>
        </w:tc>
      </w:tr>
      <w:tr>
        <w:trPr/>
        <w:tc>
          <w:tcPr>
            <w:tcW w:w="44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85"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w:t>
            </w:r>
          </w:p>
        </w:tc>
        <w:tc>
          <w:tcPr>
            <w:tcW w:w="282" w:type="dxa"/>
            <w:tcBorders/>
            <w:vAlign w:val="bottom"/>
          </w:tcPr>
          <w:p>
            <w:pPr>
              <w:pStyle w:val="TableContents"/>
              <w:bidi w:val="0"/>
              <w:spacing w:before="0" w:after="283"/>
              <w:jc w:val="left"/>
              <w:rPr/>
            </w:pPr>
            <w:r>
              <w:rPr/>
              <w:t> </w:t>
            </w:r>
          </w:p>
        </w:tc>
      </w:tr>
      <w:tr>
        <w:trPr/>
        <w:tc>
          <w:tcPr>
            <w:tcW w:w="44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18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448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Andreessen Horowitz(11)</w:t>
            </w:r>
          </w:p>
        </w:tc>
        <w:tc>
          <w:tcPr>
            <w:tcW w:w="18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2,113,975</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9.36</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2,113,975</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6.19</w:t>
            </w:r>
          </w:p>
        </w:tc>
        <w:tc>
          <w:tcPr>
            <w:tcW w:w="282" w:type="dxa"/>
            <w:tcBorders/>
            <w:vAlign w:val="bottom"/>
          </w:tcPr>
          <w:p>
            <w:pPr>
              <w:pStyle w:val="TableContents"/>
              <w:bidi w:val="0"/>
              <w:spacing w:before="0" w:after="283"/>
              <w:jc w:val="left"/>
              <w:rPr/>
            </w:pPr>
            <w:r>
              <w:rPr/>
              <w:t>% </w:t>
            </w:r>
          </w:p>
        </w:tc>
      </w:tr>
      <w:tr>
        <w:trPr/>
        <w:tc>
          <w:tcPr>
            <w:tcW w:w="44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Khosla Ventures(12)</w:t>
            </w:r>
          </w:p>
        </w:tc>
        <w:tc>
          <w:tcPr>
            <w:tcW w:w="18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1,798,702</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7.97</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1,798,702</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5.26</w:t>
            </w:r>
          </w:p>
        </w:tc>
        <w:tc>
          <w:tcPr>
            <w:tcW w:w="282" w:type="dxa"/>
            <w:tcBorders/>
            <w:shd w:fill="CCEEFF" w:val="clear"/>
            <w:vAlign w:val="bottom"/>
          </w:tcPr>
          <w:p>
            <w:pPr>
              <w:pStyle w:val="TableContents"/>
              <w:bidi w:val="0"/>
              <w:spacing w:before="0" w:after="283"/>
              <w:jc w:val="left"/>
              <w:rPr/>
            </w:pPr>
            <w:r>
              <w:rPr/>
              <w:t>% </w:t>
            </w:r>
          </w:p>
        </w:tc>
      </w:tr>
      <w:tr>
        <w:trPr/>
        <w:tc>
          <w:tcPr>
            <w:tcW w:w="4489" w:type="dxa"/>
            <w:tcBorders/>
          </w:tcPr>
          <w:p>
            <w:pPr>
              <w:pStyle w:val="TableContents"/>
              <w:bidi w:val="0"/>
              <w:spacing w:before="0" w:after="0"/>
              <w:jc w:val="left"/>
              <w:rPr>
                <w:rFonts w:ascii="Times New Roman" w:hAnsi="Times New Roman"/>
                <w:sz w:val="20"/>
              </w:rPr>
            </w:pPr>
            <w:r>
              <w:rPr>
                <w:rFonts w:ascii="Times New Roman" w:hAnsi="Times New Roman"/>
                <w:sz w:val="20"/>
              </w:rPr>
              <w:t>Sofinnova Venture Partners XI, L.P.(13)</w:t>
            </w:r>
          </w:p>
        </w:tc>
        <w:tc>
          <w:tcPr>
            <w:tcW w:w="18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1,638,236</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7.26</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1,638,236</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4.79</w:t>
            </w:r>
          </w:p>
        </w:tc>
        <w:tc>
          <w:tcPr>
            <w:tcW w:w="282" w:type="dxa"/>
            <w:tcBorders/>
            <w:vAlign w:val="bottom"/>
          </w:tcPr>
          <w:p>
            <w:pPr>
              <w:pStyle w:val="TableContents"/>
              <w:bidi w:val="0"/>
              <w:spacing w:before="0" w:after="283"/>
              <w:jc w:val="left"/>
              <w:rPr/>
            </w:pPr>
            <w:r>
              <w:rPr/>
              <w:t>% </w:t>
            </w:r>
          </w:p>
        </w:tc>
      </w:tr>
      <w:tr>
        <w:trPr/>
        <w:tc>
          <w:tcPr>
            <w:tcW w:w="44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Longitude Venture Partners IV, L.P.(14)</w:t>
            </w:r>
          </w:p>
        </w:tc>
        <w:tc>
          <w:tcPr>
            <w:tcW w:w="18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1,310,589</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5.80</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1,310,589</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3.84</w:t>
            </w:r>
          </w:p>
        </w:tc>
        <w:tc>
          <w:tcPr>
            <w:tcW w:w="282" w:type="dxa"/>
            <w:tcBorders/>
            <w:shd w:fill="CCEEFF" w:val="clear"/>
            <w:vAlign w:val="bottom"/>
          </w:tcPr>
          <w:p>
            <w:pPr>
              <w:pStyle w:val="TableContents"/>
              <w:bidi w:val="0"/>
              <w:spacing w:before="0" w:after="283"/>
              <w:jc w:val="left"/>
              <w:rPr/>
            </w:pPr>
            <w:r>
              <w:rPr/>
              <w:t>% </w:t>
            </w:r>
          </w:p>
        </w:tc>
      </w:tr>
      <w:tr>
        <w:trPr/>
        <w:tc>
          <w:tcPr>
            <w:tcW w:w="448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Capital(15)</w:t>
            </w:r>
          </w:p>
        </w:tc>
        <w:tc>
          <w:tcPr>
            <w:tcW w:w="18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1,310,589</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5.80</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1,310,589</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3.84</w:t>
            </w:r>
          </w:p>
        </w:tc>
        <w:tc>
          <w:tcPr>
            <w:tcW w:w="282" w:type="dxa"/>
            <w:tcBorders/>
            <w:vAlign w:val="bottom"/>
          </w:tcPr>
          <w:p>
            <w:pPr>
              <w:pStyle w:val="TableContents"/>
              <w:bidi w:val="0"/>
              <w:spacing w:before="0" w:after="283"/>
              <w:jc w:val="left"/>
              <w:rPr/>
            </w:pPr>
            <w:r>
              <w:rPr/>
              <w:t>% </w:t>
            </w:r>
          </w:p>
        </w:tc>
      </w:tr>
      <w:tr>
        <w:trPr/>
        <w:tc>
          <w:tcPr>
            <w:tcW w:w="44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Cormorant(16)</w:t>
            </w:r>
          </w:p>
        </w:tc>
        <w:tc>
          <w:tcPr>
            <w:tcW w:w="18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1,179,529</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5.22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1,179,529</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3.45</w:t>
            </w:r>
          </w:p>
        </w:tc>
        <w:tc>
          <w:tcPr>
            <w:tcW w:w="282" w:type="dxa"/>
            <w:tcBorders/>
            <w:shd w:fill="CCEEFF" w:val="clear"/>
            <w:vAlign w:val="bottom"/>
          </w:tcPr>
          <w:p>
            <w:pPr>
              <w:pStyle w:val="TableContents"/>
              <w:bidi w:val="0"/>
              <w:spacing w:before="0" w:after="283"/>
              <w:jc w:val="left"/>
              <w:rPr/>
            </w:pPr>
            <w:r>
              <w:rPr/>
              <w:t>% </w:t>
            </w:r>
          </w:p>
        </w:tc>
      </w:tr>
      <w:tr>
        <w:trPr/>
        <w:tc>
          <w:tcPr>
            <w:tcW w:w="448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Kaiser Permanente(17)</w:t>
            </w:r>
          </w:p>
        </w:tc>
        <w:tc>
          <w:tcPr>
            <w:tcW w:w="18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1,137,658</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5.04</w:t>
            </w:r>
          </w:p>
        </w:tc>
        <w:tc>
          <w:tcPr>
            <w:tcW w:w="2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1,137,658</w:t>
            </w:r>
          </w:p>
        </w:tc>
        <w:tc>
          <w:tcPr>
            <w:tcW w:w="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3.33</w:t>
            </w:r>
          </w:p>
        </w:tc>
        <w:tc>
          <w:tcPr>
            <w:tcW w:w="282" w:type="dxa"/>
            <w:tcBorders/>
            <w:vAlign w:val="bottom"/>
          </w:tcPr>
          <w:p>
            <w:pPr>
              <w:pStyle w:val="TableContents"/>
              <w:bidi w:val="0"/>
              <w:spacing w:before="0" w:after="283"/>
              <w:jc w:val="left"/>
              <w:rPr/>
            </w:pPr>
            <w:r>
              <w:rPr/>
              <w:t>% </w:t>
            </w:r>
          </w:p>
        </w:tc>
      </w:tr>
      <w:tr>
        <w:trPr/>
        <w:tc>
          <w:tcPr>
            <w:tcW w:w="44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Horsley Bridge(18)</w:t>
            </w:r>
          </w:p>
        </w:tc>
        <w:tc>
          <w:tcPr>
            <w:tcW w:w="18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1,132,590</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5.02</w:t>
            </w:r>
          </w:p>
        </w:tc>
        <w:tc>
          <w:tcPr>
            <w:tcW w:w="27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1,132,590</w:t>
            </w:r>
          </w:p>
        </w:tc>
        <w:tc>
          <w:tcPr>
            <w:tcW w:w="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3.31</w:t>
            </w:r>
          </w:p>
        </w:tc>
        <w:tc>
          <w:tcPr>
            <w:tcW w:w="282"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1,210,056 shares of common stock directly beneficially owned by Dr. Fortney; and (ii) an aggregate 1,117,783 shares of common stock issuable to Dr. Fortney pursuant to options exercisable within 60 days of August 20, 2024, which total includes 1,062,071 shares of common stock underlying options directly beneficially owned by Dr. Fortney and 55,712 shares of common stock underlying options beneficially owned by Dr. Fortneys spouse. Excludes an option for 424,827 shares of common stock to Dr. Fortney that were granted upon the effectiveness of the registration statement of which this prospectus forms a part and will be immediately exercisable.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67,225 shares of common stock directly beneficially owned by Dr. Morgen; and (ii) an aggregate 482,714 shares of common stock issuable to Dr. Morgen pursuant to options exercisable within 60 days of August 20, 2024, which total includes 470,972 shares of common stock underlying options directly beneficially owned by Dr. Morgen and 11,742 shares of common stock underlying options beneficially owned by Dr. Morgens spouse.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334,168 shares of common stock issuable to Dr. Rubin pursuant to options exercisable within 60 days of August 20,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141,609 shares of common stock issuable to Dr. Garnier pursuant to options exercisable within 60 days of August 20,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5,664 shares of common stock issuable to Dr. Davidson pursuant to options exercisable within 60 days of August 20,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entirely of the shares of common stock held of record by LVP IV (as defined below), as more specifically described in footnote (14), below. The business address of Mr. Enright is: 2740 Sand Hill Road, 2nd Floor, Menlo Park, CA 94025.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entirely of the shares of common stock held of record by SVP XI (as defined below), as more specifically described in footnote (13), below. The business address of Dr. Healy is: c/o Sofinnova Investments, Inc., 3000 Sand Hill Road, Building 4, Suite 250,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39,921 shares of common stock issuable to Ms. Hemrajani pursuant to options exercisable within 60 days of August 20,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Dr. Pande has no voting or investment control over the shares held by entities affiliated with Andreessen Horowitz that are included in footnote 11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the total of all securities beneficially owned by our directors and officers, consisting of 4,248,514 shares of common stock and 2,328,951 shares of common stock issuable pursuant to options exercisable within 60 days of August 20,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1,269,072 shares of common stock held of record by AH Bio Fund I, L.P., for itself and as nominee for AH Bio Fund I-B, L.P. (collectively, the AH Bio Fund I Entities), (ii) 189,609 shares of Common Stock held of record by AH Bio Fund III, L.P., for itself and as nominee for AH Bio Fund III-B, L.P. and AH Bio Fund III-Q, L.P. (collectively, the AH Bio Fund III Entities), and (iii) 655,294 shares of common stock held of record by AH Bio Fund IV, L.P., for itself and as nominee for AH Bio Fund IV-B, L.P., AH 2022 Annual Fund, L.P., AH 2022 Annual Fund-B, L.P., AH 2022 Annual Fund-QC, L.P., and CLF Partners III, LP (collectively, the AH Bio Fund IV Entities). AH Equity Partners Bio I, L.L.C. (AH EP Bio I), the general partner of the AH Bio Fund I Entities may be deemed to have sole voting and dispositive power over the shares held by the AH Bio Fund I Entities. AH Equity Partners Bio III, L.L.C. (AH EP Bio III), the general partner of the AH Bio Fund III Entities may be deemed to have sole voting and dispositive power over the shares held by the AH Bio Fund III Entities. AH Equity Partners Bio IV, L.L.C. (AH EP Bio IV), the general partner of the AH Bio Fund IV Entities may be deemed to have sole voting and dispositive power over the shares held by the AH Bio Fund IV Entities. The managing members of each of AH EP Bio I, AH EP Bio III and AH EP Bio IV are Marc Andreessen and Ben Horowitz, and each of them may be deemed to hold shared voting and dispositive power over the shares held by the AH Bio Fund I Entities, the AH Bio Fund III Entities and the AH Bio Fund IV Entities. Shares held by each of these entities include shares that may be subsequently sold by each of Marc Andreessen, Ben Horowitz and Vijay Pande, a director, following in-kind distributions of shares by these entities. The address for the persons and entities set forth herein is 2865 Sand Hill Road, Suite 101,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437,152 shares of common stock directly held by Khosla Ventures VI, LP (KV VI); and (ii) 1,361,550 shares of common stock directly held by Khosla Ventures Opportunity I, LP (KV Opp I). Khosla Ventures Associates VI, LLC (KVA VI) is the general partner of KV VI and Khosla Ventures Opportunity Associates I, LLC (KVOA I) is the general partner of KV Opp I. VK Services, LLC (VK Services) is the sole manager of KVA VI and KVOA I. Vinod Khosla is the managing member of VK Services. As such: (i) KVA VI may be deemed to indirectly beneficially own the securities directly held by KV VI; (ii) KVOA I may be deemed to indirectly beneficially own the securities directly held by KV Opp I; (iii) VK Services may be deemed to indirectly beneficially own the securities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directly or indirectly beneficially owned by each of KV VI, KV Opp I, KVA VI, and KVOA I; and (iv) Mr. Khosla may be deemed to exercise shared voting and investment discretion with respect to all of the securities described in this footnote. The principal business office address for each of the foregoing entities is: 2128 Sand Hill Road, Menlo Park, California 94025.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1,638,236 shares of common stock directly held by Sofinnova Venture Partners XI, L.P. (SVP XI). Sofinnova Management XI, L.P. (SM XI LP) is the general partner of SVP XI. Sofinnova Management XI, L.L.C. (SM XI LLC) is the general partner of SM XI LP. Dr. Healy and Dr. Maha Katabi are the managing members of SM XI LLC. As such: (i) SM XI LP and SM XI LLC may each be deemed to indirectly beneficially own the securities directly held by SVP XI; and (ii) Dr. Healy and Dr. Katabi may be deemed to exercise shared voting and investment discretion with respect to the securities described in this footnote. Shares of common stock beneficially owned after this offering does not include the shares of common stock that SVP XI intends to purchase in the concurrent private placement. For additional information on SVP XIs expected participation in the concurrent private placement, see the section titled Certain Relationships and Related Person TransactionsConcurrent Private Placement included elsewhere in this prospectus. Dr. Healy and Dr. Katabi disclaim beneficial ownership of any of the securities, except to the extent of their pecuniary interest therein. The business address of each of the aforementioned parties is: c/o Sofinnova Investments, Inc., 3000 Sand Hill Road, Building 4, Suite 250,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1,310,589 shares of common stock directly held by Longitude Venture Partners IV, L.P. (LVP IV). Longitude Capital Partners IV, LLC (LCP IV) is the general partner of LVP IV and may be deemed to have voting, investment and dispositive power with respect to these securities. Juliet Tammenoms Bakker and Patrick G. Enright are the managing members of LCP IV and may each be deemed to share voting, investment and dispositive power with respect to the securities held by LVP IV. Each of LCP IV, Ms. Tammenoms Bakker and Mr. Enright disclaim beneficial ownership of such securities except to the extent of their respective pecuniary interests therein. The business address of each of the aforementioned parties is: 2740 Sand Hill Road, 2nd Floor, Menlo Park, CA 94025.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327,647 shares of common stock directly held by RA Capital Nexus Fund III, L.P. (Nexus III); and (ii) 982,942 shares of common stock directly held by RA Capital Healthcare Fund, L.P. (RA Healthcare). RA Capital Management, L.P. (RA Investment Manager) serves as investment manager for Nexus III and RA Healthcare. RA Capital Management GP, LLC (RA Manager GP) is the general partner of RA Investment Manager. Peter Kolchinsky, Ph.D. and Rajeev Shah are the managing members of RA Manager GP. As such, each of RA Investment Manager, RA Manager GP, Dr. Kolchinsky, and Mr. Shah may be deemed to exercise shared voting and investment discretion with respect to all of the securities described in this footnote. RA Investment Manager, RA Manager GP, Dr. Kolchinsky and Mr. Shah disclaim beneficial ownership of any of the securities, except to the extent of their pecuniary interest therein. The business address of each of the aforementioned parties is: 200 Berkeley Street, 18th Floor, Boston, Massachusetts 02116.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620,551 shares of common stock directly held by Cormorant Private Healthcare Fund IV, LP (Cormorant IV); (ii) 520,054 shares of common stock directly held by Cormorant Private Healthcare Fund V, LP (Cormorant V); and (iii) 38,924 shares of common stock directly held by Cormorant Global Healthcare Master Fund, LP (together with Cormorant IV and Cormorant V, the Cormorant Funds and each, a Cormorant Fund). Cormorant Asset Management, LP (the Cormorant Asset Manager) serves as the asset manager of each Cormorant Fund. Bihua Chen is the managing member of the Cormorant Asset Manager. As such, each of the Cormorant Asset Manager and Ms. Chen may be deemed to exercise shared voting and investment discretion with respect to all of the securities described in this footnote. The business address of each of the aforementioned parties is: 200 Clarendon Street, 52nd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758,439 shares of Series C redeemable convertible preferred stock directly held by Kaiser Permanente Group Trust (Kaiser Trust); and (ii) 379,219 shares of Series C redeemable convertible preferred stock directly held by Kaiser Foundation Hospitals (Kaiser Hospitals). The Kaiser Permanente Retirement Plans Investment Committee has discretionary authority to manage and control Kaiser Trust assets. The business address for each of the aforementioned parties is: One Kaiser Plaza, The Ordway Building, Oakland, California 94612.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(i) 566,295 shares of common stock directly held by Horsley Bridge Venture 14, L.P. (HBV 14) and (ii) 566,295 shares of common stock directly held by Horsley Bridge Venture 14+, L.P. (HBV 14+). The managing general partner of HBV 14 and HBV 14+ is Horsley Bridge Partners LLC (HBV GP). Du Chai, Lance Cottrill, Josh Freeman, Kathryn Mayne, Yi Sun are the investment committee members of HBV GP. As such: (i) HBV GP may be deemed to indirectly beneficially own the securities directly held by HBV 14 and HBV 14+; and (ii) Du Chai, Lance Cottrill, Josh Freeman, Kathryn Mayne, Yi Sun may be deemed to exercise shared voting and investment discretion with respect to the securities described in this footnote. The business address of each of the aforementioned parties is:140 New Montgomery Street, 16th Floor, San Francisco, CA 94105.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35745_15"/>
      <w:bookmarkEnd w:id="17"/>
      <w:r>
        <w:rPr>
          <w:rFonts w:ascii="Times New Roman" w:hAnsi="Times New Roman"/>
          <w:b/>
          <w:sz w:val="20"/>
        </w:rPr>
        <w:t xml:space="preserve">DESCRIPTION OF CAPITAL STOCK </w:t>
      </w:r>
    </w:p>
    <w:p>
      <w:pPr>
        <w:pStyle w:val="TextBody"/>
        <w:bidi w:val="0"/>
        <w:spacing w:before="240" w:after="0"/>
        <w:jc w:val="both"/>
        <w:rPr>
          <w:rFonts w:ascii="Times New Roman" w:hAnsi="Times New Roman"/>
          <w:sz w:val="20"/>
        </w:rPr>
      </w:pPr>
      <w:r>
        <w:rPr>
          <w:rFonts w:ascii="Times New Roman" w:hAnsi="Times New Roman"/>
          <w:sz w:val="20"/>
        </w:rPr>
        <w:t xml:space="preserve">The following description summarizes the most important terms of our capital stock, as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Upon the completion of this offering and the concurrent private placement, our authorized capital stock will consist of 500,000,000 shares of our common stock, $0.00001 par value per share, and 10,000,000 shares of our undesignated preferred stock, $0.00001 par value per share.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provisions of our current certificate of incorporation, all of our redeemable convertible preferred stock will automatically convert into common stock in connection with the completion of this offering. Our Series A-1 redeemable convertible preferred stock will convert at a ratio of 1-for-0.224084614, our Series A-2 redeemable convertible preferred stock will convert at a ratio of 1-for-0.224084614, our Series A-3 redeemable convertible preferred stock will convert at a ratio of 0.224084614, our Series A-4 redeemable convertible preferred stock will convert at a ratio of 1-for-0.224084614, our Series B redeemable convertible preferred stock will convert at a ratio of 1-for-0.224084614, our Series C redeemable convertible preferred stock will convert at a ratio of 1-for-0.224084614, our Series D redeemable convertible preferred stock will convert at a ratio of 1-for-0.224084614 and our Series D-1 redeemable convertible preferred stock will convert at a ratio of 1-for-0.224084614. Assuming the effectiveness of this conversion as of June 30, 2024, there were 22,578,296 shares of our common stock issued, held by approximately 97 stockholders of record, and no shares of our convertible preferred stock outstanding. Our board of directors is authorized, without stockholder approval, to issue additional shares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both"/>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both"/>
        <w:rPr>
          <w:rFonts w:ascii="Times New Roman" w:hAnsi="Times New Roman"/>
          <w:sz w:val="20"/>
        </w:rPr>
      </w:pPr>
      <w:r>
        <w:rPr>
          <w:rFonts w:ascii="Times New Roman" w:hAnsi="Times New Roman"/>
          <w:sz w:val="20"/>
        </w:rPr>
        <w:t xml:space="preserve">Upon our liquidation, dissolution or winding-up, the assets legally available for distribution to our stockholders would be distributable ratably among the holders of our common stock and any participating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preferred stock outstanding at that time, subject to prior satisfaction of all outstanding debt and liabilities and the preferential rights of and the payment of liquidation preferences, if any, on any outstanding shares our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After the completion of this offering, no shares of our preferred stock will be outstanding. Pursuant to our restated certificate of incorporation that will become effective immediately before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and not above the number of shares of that series authorized,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2024, we had outstanding the following warrants to purchase shares of our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00"/>
        <w:gridCol w:w="515"/>
        <w:gridCol w:w="140"/>
        <w:gridCol w:w="1648"/>
        <w:gridCol w:w="60"/>
        <w:gridCol w:w="515"/>
        <w:gridCol w:w="292"/>
        <w:gridCol w:w="1171"/>
        <w:gridCol w:w="64"/>
      </w:tblGrid>
      <w:tr>
        <w:trPr/>
        <w:tc>
          <w:tcPr>
            <w:tcW w:w="5800"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0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Type of Capital Stock</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Underlying Warrant</w:t>
            </w:r>
          </w:p>
        </w:tc>
        <w:tc>
          <w:tcPr>
            <w:tcW w:w="515" w:type="dxa"/>
            <w:tcBorders/>
            <w:vAlign w:val="bottom"/>
          </w:tcPr>
          <w:p>
            <w:pPr>
              <w:pStyle w:val="TableContents"/>
              <w:bidi w:val="0"/>
              <w:spacing w:before="0" w:after="283"/>
              <w:jc w:val="left"/>
              <w:rPr/>
            </w:pPr>
            <w:r>
              <w:rPr/>
              <w:t>  </w:t>
            </w:r>
          </w:p>
        </w:tc>
        <w:tc>
          <w:tcPr>
            <w:tcW w:w="17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Number of</w:t>
              <w:br/>
              <w:t>Shares Subject</w:t>
              <w:br/>
              <w:t>to Warrants</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 Price</w:t>
              <w:br/>
              <w:t>Per Share (1)</w:t>
            </w:r>
          </w:p>
        </w:tc>
        <w:tc>
          <w:tcPr>
            <w:tcW w:w="64" w:type="dxa"/>
            <w:tcBorders/>
            <w:vAlign w:val="bottom"/>
          </w:tcPr>
          <w:p>
            <w:pPr>
              <w:pStyle w:val="TableContents"/>
              <w:bidi w:val="0"/>
              <w:spacing w:before="0" w:after="283"/>
              <w:jc w:val="left"/>
              <w:rPr/>
            </w:pPr>
            <w:r>
              <w:rPr/>
              <w:t> </w:t>
            </w:r>
          </w:p>
        </w:tc>
      </w:tr>
      <w:tr>
        <w:trPr/>
        <w:tc>
          <w:tcPr>
            <w:tcW w:w="5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5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6,722</w:t>
            </w:r>
          </w:p>
        </w:tc>
        <w:tc>
          <w:tcPr>
            <w:tcW w:w="6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3.22</w:t>
            </w:r>
          </w:p>
        </w:tc>
        <w:tc>
          <w:tcPr>
            <w:tcW w:w="64" w:type="dxa"/>
            <w:tcBorders/>
            <w:shd w:fill="CCEEFF" w:val="clear"/>
            <w:vAlign w:val="bottom"/>
          </w:tcPr>
          <w:p>
            <w:pPr>
              <w:pStyle w:val="TableContents"/>
              <w:bidi w:val="0"/>
              <w:spacing w:before="0" w:after="283"/>
              <w:jc w:val="left"/>
              <w:rPr/>
            </w:pPr>
            <w:r>
              <w:rPr/>
              <w:t> </w:t>
            </w:r>
          </w:p>
        </w:tc>
      </w:tr>
      <w:tr>
        <w:trPr/>
        <w:tc>
          <w:tcPr>
            <w:tcW w:w="580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5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24,968</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10.27</w:t>
            </w:r>
          </w:p>
        </w:tc>
        <w:tc>
          <w:tcPr>
            <w:tcW w:w="6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exercise price of these warrants may either be paid in cash or by surrendering the right to receive shares having a value equal to the exercise price.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2024, we had outstanding options to purchase an aggregate of 4,522,711 shares of our common stock, with a weighted-average exercise price of $8.41 per share under our 2015 Plan.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terms of the IRA immediately following this offering, the holders of 20,854,632 shares of our common stock will be entitled to rights with respect to the registration of such shares under the Securities Act as described below. We refer to these shares collectively as registrable securities. These rights are provided under the terms of the IRA between us and the holders of these shares, which was entered into in connection with our redeemable convertible preferred stock financings prior to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Beginning from the earlier of February 1, 2029 or 180 days after the effective date of this registration statement, if we receive a request to file a Registration Statement on Form S-1 from the holders of at least a majority of the registrable securities then outstanding (and the registrable securities subject to such request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 anticipated offering price, net of selling expenses of at least $50 million), then we are obligated to provide notice of such request to all holders other than the holders that initiated the request, and as soon as practicable but in any event within 90 days after such request is given by the initiating holders, use commercially reasonable efforts to as soon as practicable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after the date the request is given. We are only required to file two registration statements that are declared effective upon exercise of these demand registration rights. We may defer taking action with respect to such filing not more than once during any 12-month period for a total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 holders. However, the number of shares to be registered by these holders cannot be reduced unless all other securities are first entirely excluded from the underwriting.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S-3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Any holder of the registrable securities then outstanding can request that we file a Form S-3 Registration Statement with respect to outstanding registrable securities of such holders having an anticipated aggregate offering price, net of selling expenses, of at least $5 million. Within 10 days after the request is given, we are obligated to provide notice of such request to all holders of registrable securities other than the initial holders and as soon as practicable, and in any event within 45 days, use commercially reasonable efforts to file a Form S-3 Registration Statement under the Securities Act covering all registrable securities requested to be included in such registration by any other holders as specified by notice given by each such holder to is within 20 days of the date the request is given. We are not required to file more than two registration statements that are declared effective upon exercise of these demand registration rights within any 12-month period. We may defer taking action with respect to such filing not more than once during any 12-month period for a total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of any underwritten offering will have the right to limit the number of shares registered by these holders if they determine that marketing factors require limitation, in which case the number of shares to be registered will be apportioned, in proportion (as nearly as practicable), to the number of registrable securities owned by each holder or in such other proportion as shall mutually be agreed to by all such selling holders. However, the number of shares to be registered by these holders cannot be reduced unless all other securities are first entirely excluded from the underwriting.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If we register any of our securities for public sale solely for cash, holders of then-outstanding registrable securities or their permitted transferees will have the right to include their registrable securities in the registration statement. However, this right does not apply to a registration relating to the sale or grant of securities to our employees pursuant to a stock option, stock purchase, equity incentive or similar plan, a registration relating to a Rule 145 transaction, a registration on any form that does not include substantially the same information as would be required to be included in a registration statement covering the sale of our common stock, or a registration in which the only common stock being registered is common stock issuable upon conversion of debt securities that are also being registered. If the underwriters determine that less than all the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requested to be registered can be included in the offering, the number of registrable shares to be registered will be allocated among holders of our registrable securities, in proportion (as nearly as practicable) to the amount of registrable securities owned by each such holder or in such other proportions as shall mutually be agreed to by all such holders. However, the number of shares to be registered by holders of registrable securities cannot be reduced unless all other securities (other than as offered by us) are first entirely excluded. The number of registrable securities included in the offering may not be reduced below 25% of the total number of securities included in such offering, except for in connection with an initial public offering, in which case the selling holders may be excluded further if the underwriters make the determination described above and no other stockholders securities are included in such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Expenses of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We generally will pay all expenses (other than selling expenses) incurred in connection with each of the registrations, filings or qualifications described above, including all registration, filing and qualification fees; printers and accounting fees; fees and disbursements, of our counsel; and the reasonable fees and disbursements of one counsel for the selling holders, not to exceed $30,000, provided, however, that if the registration is subsequently withdrawn at the request of a holders of a majority of the registrable shares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a registration as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registration rights described above will terminate, with respect to any particular holder of these rights, on the earliest to occur of (i) such time after this offering when all of such holders registrable securities could be sold without any restriction on volume or manner of sale in any three-month period under Rule 144 or any successor, (ii) upon a deemed liquidation event, as defined in our restated certificate of incorporation or a sale by our stockholders, in one transaction or series of related transactions, of equity securities that represent, immediately prior to such transaction or transactions, at least a majority by voting power of our equity securities pursuant to an agreement approved by our Board and the investors holding at least a majority of our outstanding preferred stock (voting together as a single class on an as-converted basis) and entered into by us or (iii) the fifth anniversary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both"/>
        <w:rPr>
          <w:rFonts w:ascii="Times New Roman" w:hAnsi="Times New Roman"/>
          <w:sz w:val="20"/>
        </w:rPr>
      </w:pPr>
      <w:r>
        <w:rPr>
          <w:rFonts w:ascii="Times New Roman" w:hAnsi="Times New Roman"/>
          <w:sz w:val="20"/>
        </w:rPr>
        <w:t xml:space="preserve">The provisions of the DGCL, our restated certificate of incorporation and our restated bylaws, as we expect they will be in effect immediately before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executive officers and (ii)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DGCL may also discourage attempts that might result in a premium over the market price for the shares of common stock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Restated Certificate of Incorporation and Restated Bylaw Provisions </w:t>
      </w:r>
    </w:p>
    <w:p>
      <w:pPr>
        <w:pStyle w:val="TextBody"/>
        <w:bidi w:val="0"/>
        <w:spacing w:before="120" w:after="0"/>
        <w:jc w:val="both"/>
        <w:rPr>
          <w:rFonts w:ascii="Times New Roman" w:hAnsi="Times New Roman"/>
          <w:sz w:val="20"/>
        </w:rPr>
      </w:pPr>
      <w:r>
        <w:rPr>
          <w:rFonts w:ascii="Times New Roman" w:hAnsi="Times New Roman"/>
          <w:sz w:val="20"/>
        </w:rPr>
        <w:t xml:space="preserve">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restated certificate of incorporation and restated bylaws will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restated certificate of incorporation and restated bylaws will provide that our board of directors is classified into three classes of directors, each with staggered three- year terms.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certificate of incorporation and restated bylaws will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restated bylaws will provide advance notice procedures for stockholders seeking to bring business before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restated certificate of incorporation and restated bylaws will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Directors Removed Only for Cause</w:t>
            </w:r>
            <w:r>
              <w:rPr>
                <w:rFonts w:ascii="Times New Roman" w:hAnsi="Times New Roman"/>
                <w:sz w:val="20"/>
              </w:rPr>
              <w:t xml:space="preserve">. Our restated certificate of incorporation will provide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Amendment of Charter Provisions</w:t>
            </w:r>
            <w:r>
              <w:rPr>
                <w:rFonts w:ascii="Times New Roman" w:hAnsi="Times New Roman"/>
                <w:sz w:val="20"/>
              </w:rPr>
              <w:t xml:space="preserve">. Any amendment of the above expected provisions in our restated certificate of incorporation will require approval by the holders of at least two-thirds of our outstanding common stock, unless such amendments are approved by two thirds of our entire board of directors, in which case stockholders can approve by a simple majority.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Issuance of Undesignated Preferred Stock</w:t>
            </w:r>
            <w:r>
              <w:rPr>
                <w:rFonts w:ascii="Times New Roman" w:hAnsi="Times New Roman"/>
                <w:sz w:val="20"/>
              </w:rPr>
              <w:t xml:space="preserve">. Our board of directors has the authority, without further action by the stockholders, to issue 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Choice of Forum</w:t>
            </w:r>
            <w:r>
              <w:rPr>
                <w:rFonts w:ascii="Times New Roman" w:hAnsi="Times New Roman"/>
                <w:sz w:val="20"/>
              </w:rPr>
              <w:t xml:space="preserve">. Our restated bylaws will provide that, to the fullest extent permitted by law,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will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other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executive officers, other employees or agents of our Company, which may discourage lawsuits against us and our directors, executive officers and other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50 Royall Street, Canton, Massachusetts 02021, and its telephone number is (800) 962-4284.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has been approved for listing on the Nasdaq Global Select Market under the trading symbol BIOA.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For a discussion of liability and indemnification, see the section titled Executive and Director CompensationLimitations on Liability and Indemnification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35745_16"/>
      <w:bookmarkEnd w:id="18"/>
      <w:r>
        <w:rPr>
          <w:rFonts w:ascii="Times New Roman" w:hAnsi="Times New Roman"/>
          <w:b/>
          <w:sz w:val="20"/>
        </w:rPr>
        <w:t xml:space="preserve">SHARES ELIGIBLE FOR FUTURE SALE </w:t>
      </w:r>
    </w:p>
    <w:p>
      <w:pPr>
        <w:pStyle w:val="TextBody"/>
        <w:bidi w:val="0"/>
        <w:spacing w:before="240" w:after="0"/>
        <w:jc w:val="both"/>
        <w:rPr>
          <w:rFonts w:ascii="Times New Roman" w:hAnsi="Times New Roman"/>
          <w:sz w:val="20"/>
        </w:rPr>
      </w:pPr>
      <w:r>
        <w:rPr>
          <w:rFonts w:ascii="Times New Roman" w:hAnsi="Times New Roman"/>
          <w:sz w:val="20"/>
        </w:rPr>
        <w:t xml:space="preserve">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 </w:t>
      </w:r>
    </w:p>
    <w:p>
      <w:pPr>
        <w:pStyle w:val="TextBody"/>
        <w:bidi w:val="0"/>
        <w:spacing w:before="240" w:after="0"/>
        <w:jc w:val="both"/>
        <w:rPr>
          <w:rFonts w:ascii="Times New Roman" w:hAnsi="Times New Roman"/>
          <w:sz w:val="20"/>
        </w:rPr>
      </w:pPr>
      <w:r>
        <w:rPr>
          <w:rFonts w:ascii="Times New Roman" w:hAnsi="Times New Roman"/>
          <w:sz w:val="20"/>
        </w:rPr>
        <w:t xml:space="preserve">Upon the completion of this offering and the concurrent private placement, based on 22,578,296 shares of our capital stock outstanding as of June 30, 2024, we will have a total of 34,167,184 shares of our common stock outstanding, assuming (i) the automatic conversion of all outstanding shares of our redeemable convertible preferred stock into an aggregate of 20,854,632 shares of our common stock, (ii) the issuance of 11,000,000 shares of common stock in this offering assuming that the underwriters do not exercise their option to purchase up to an additional 1,650,000 shares of common stock from us in part or in full, and (iii) 588,888 shares of common stock issued in the concurrent private placement. Of these outstanding shares, all of the shares of our common stock sold in this offering will be freely tradable, except that any shares purchased in this offering by our affiliates, as that term is defined in Rule 144 under the Securities Act can only be sold in compliance with the Rule 144 limitations described below. All remaining shares of common stock held by existing stockholders immediately prior to the completion of this offering, including those sold in the concurrent private placement,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 </w:t>
      </w:r>
    </w:p>
    <w:p>
      <w:pPr>
        <w:pStyle w:val="TextBody"/>
        <w:bidi w:val="0"/>
        <w:spacing w:before="240" w:after="0"/>
        <w:jc w:val="both"/>
        <w:rPr>
          <w:rFonts w:ascii="Times New Roman" w:hAnsi="Times New Roman"/>
          <w:sz w:val="20"/>
        </w:rPr>
      </w:pPr>
      <w:r>
        <w:rPr>
          <w:rFonts w:ascii="Times New Roman" w:hAnsi="Times New Roman"/>
          <w:sz w:val="20"/>
        </w:rPr>
        <w:t xml:space="preserve">The remaining 23,167,184 outstanding shares of our common stock will be, and shares subject to stock options will be upon issuance,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or will have, entered into market standoff agreements with us or lock-up agreements with the underwriters under which they have agreed, subject to specific exceptions, not to sell any of our stock for at least 180 days following the date of this prospectus,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both"/>
        <w:rPr>
          <w:rFonts w:ascii="Times New Roman" w:hAnsi="Times New Roman"/>
          <w:sz w:val="20"/>
        </w:rPr>
      </w:pPr>
      <w:r>
        <w:rPr>
          <w:rFonts w:ascii="Times New Roman" w:hAnsi="Times New Roman"/>
          <w:sz w:val="20"/>
        </w:rPr>
        <w:t xml:space="preserve">We, our officers, directors and holders of substantially all of our securities,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 </w:t>
      </w:r>
    </w:p>
    <w:p>
      <w:pPr>
        <w:pStyle w:val="TextBody"/>
        <w:bidi w:val="0"/>
        <w:spacing w:before="240" w:after="0"/>
        <w:jc w:val="both"/>
        <w:rPr>
          <w:rFonts w:ascii="Times New Roman" w:hAnsi="Times New Roman"/>
          <w:sz w:val="20"/>
        </w:rPr>
      </w:pPr>
      <w:r>
        <w:rPr>
          <w:rFonts w:ascii="Times New Roman" w:hAnsi="Times New Roman"/>
          <w:sz w:val="20"/>
        </w:rPr>
        <w:t xml:space="preserve">Goldman Sachs &amp; Co. LLC, Morgan Stanley &amp; Co. LLC and Jefferies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See the section titled Underwriting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both"/>
        <w:rPr>
          <w:rFonts w:ascii="Times New Roman" w:hAnsi="Times New Roman"/>
          <w:sz w:val="20"/>
        </w:rPr>
      </w:pPr>
      <w:r>
        <w:rPr>
          <w:rFonts w:ascii="Times New Roman" w:hAnsi="Times New Roman"/>
          <w:sz w:val="20"/>
        </w:rPr>
        <w:t xml:space="preserve">In general, Rule 144 provides that once we have been subject to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 </w:t>
      </w:r>
    </w:p>
    <w:p>
      <w:pPr>
        <w:pStyle w:val="TextBody"/>
        <w:bidi w:val="0"/>
        <w:spacing w:before="240" w:after="0"/>
        <w:jc w:val="both"/>
        <w:rPr>
          <w:rFonts w:ascii="Times New Roman" w:hAnsi="Times New Roman"/>
          <w:sz w:val="20"/>
        </w:rPr>
      </w:pPr>
      <w:r>
        <w:rPr>
          <w:rFonts w:ascii="Times New Roman" w:hAnsi="Times New Roman"/>
          <w:sz w:val="20"/>
        </w:rPr>
        <w:t xml:space="preserve">In general, Rule 144 provides that our affiliates or persons selling shares of our common stock on behalf of our affiliates are entitled to sell upon expiration of the lock-up and market standoff agreements described above, within any three-month period, a number of shares of our common stock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 of the number of shares of our common stock then outstanding, which will equal approximately 341,672 shares immediately after the completion of this offering and the concurrent private placement;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average reported weekly trading volume of shares of our common stock during the four calendar weeks preceding the filing of a notice on Form 144 with respect to that sale. </w:t>
            </w:r>
          </w:p>
        </w:tc>
      </w:tr>
    </w:tbl>
    <w:p>
      <w:pPr>
        <w:pStyle w:val="TextBody"/>
        <w:bidi w:val="0"/>
        <w:spacing w:before="240" w:after="0"/>
        <w:jc w:val="both"/>
        <w:rPr>
          <w:rFonts w:ascii="Times New Roman" w:hAnsi="Times New Roman"/>
          <w:sz w:val="20"/>
        </w:rPr>
      </w:pPr>
      <w:r>
        <w:rPr>
          <w:rFonts w:ascii="Times New Roman" w:hAnsi="Times New Roman"/>
          <w:sz w:val="20"/>
        </w:rPr>
        <w:t xml:space="preserve">Sales under Rule 144 by our affiliates or persons selling shares of our common stock on behalf of our affiliates are also subject to certain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both"/>
        <w:rPr>
          <w:rFonts w:ascii="Times New Roman" w:hAnsi="Times New Roman"/>
          <w:sz w:val="20"/>
        </w:rPr>
      </w:pPr>
      <w:r>
        <w:rPr>
          <w:rFonts w:ascii="Times New Roman" w:hAnsi="Times New Roman"/>
          <w:sz w:val="20"/>
        </w:rPr>
        <w:t xml:space="preserve">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All holders of Rule 701 shares, however, are required to wait until 90 days after the date of this prospectus before selling those shares pursuant to Rule 701 and are subject to the lock-up and market standoff agreements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Form S-8 Registration Statement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we intend to file a registration statement on Form S-8 under the Securities Act covering all of the shares of our common stock subject to outstanding options, outstanding shares of restricted stock and the shares of our common stock reserved for issuance under our equity incentive plans. We expect to file this registration statement as soon as permitted under the Securities Act. However, the shares registered on Form S-8 held by affiliates may be subject to the volume limitations and the manner of sale, notice and public information requirements of Rule 144 and will not be eligible for resale until expiration of the lock-up and market standoff agreements to which they are subject. Of the 4,522,711 shares of our common stock that were subject to options outstanding as of June 30, 2024, options to purchase 1,657,051 shares of common stock were vested as of June 30, 2024. Shares of our common stock underlying outstanding options will not be eligible for sale until the expiration of the 180-day lock-up and market standoff agreements to which they are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35745_17"/>
      <w:bookmarkEnd w:id="19"/>
      <w:r>
        <w:rPr>
          <w:rFonts w:ascii="Times New Roman" w:hAnsi="Times New Roman"/>
          <w:b/>
          <w:sz w:val="20"/>
        </w:rPr>
        <w:t xml:space="preserve">MATERIAL U.S. FEDERAL INCOME TAX CONSEQUENCES TO NON-U.S. 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summary describes the material U.S. federal income tax consequences of the ownership and disposition of shares of our common stock acquired in this offering by Non-U.S. Holders (as defined below). This discussion does not address all aspects of U.S. federal income taxation, does not discuss the potential application of the alternative minimum tax provisions of the U.S. Internal Revenue Code of 1986, as amended (the Code) or the Medicare contribution tax on net investment income, and does not deal with state or local tax laws, any U.S. federal non-income tax laws such as gift and estate tax laws, except to the limited extent provided below, or any non-U.S. tax laws that may be relevant to Non-U.S. Holders in light of their particular circumstances. </w:t>
      </w:r>
    </w:p>
    <w:p>
      <w:pPr>
        <w:pStyle w:val="TextBody"/>
        <w:bidi w:val="0"/>
        <w:spacing w:before="240" w:after="0"/>
        <w:jc w:val="both"/>
        <w:rPr>
          <w:rFonts w:ascii="Times New Roman" w:hAnsi="Times New Roman"/>
          <w:sz w:val="20"/>
        </w:rPr>
      </w:pPr>
      <w:r>
        <w:rPr>
          <w:rFonts w:ascii="Times New Roman" w:hAnsi="Times New Roman"/>
          <w:sz w:val="20"/>
        </w:rPr>
        <w:t xml:space="preserve">Special rules different from those described below may apply to certain Non-U.S. Holders that are subject to special treatment under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banks, investment funds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foreign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required for U.S. federal income tax purposes to conform the timing of income accruals to their financial statements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that own, or are deemed to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that hold our common stock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do not hold our common stock as a capital asset within the meaning of Section 1221 of the Code (generally, for investment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partnerships and other entities or arrangements treated as pass-through entities for U.S. federal income tax purposes, and investors in such entities (regardless of their places of organization or formation).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Such Non-U.S. Holders are urged to consult their own tax advisors to determine the U.S. federal, state, local and other tax consequences that may be relevant to them. If an entity or arrangement that is classified as a partnership for U.S. federal income tax purposes holds our common stock, the U.S. federal income tax treatment of the partnership and the partners thereof generally will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 discussion below is based upon the provisions of the Code, U.S. Treasury Regulations promulgated thereunder, published rulings and administrative pronouncements of the U.S. Internal Revenue Service (IRS), and judicial decisions, in each case as of the date hereof, and such authorities may be repealed, revoked or modified, possibly retroactively, or could be subject to differing interpretations which could result in U.S. federal income tax consequences different from those discussed below. We have not requested a ruling from the IRS with respect to the statements made and the conclusions reached in the following summary, and there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 no assurance that the IRS will not take a contrary position regarding the tax consequences described herein, or that any such contrary position would not be sustained by a court. </w:t>
      </w:r>
    </w:p>
    <w:p>
      <w:pPr>
        <w:pStyle w:val="TextBody"/>
        <w:bidi w:val="0"/>
        <w:spacing w:before="240" w:after="0"/>
        <w:jc w:val="both"/>
        <w:rPr>
          <w:rFonts w:ascii="Times New Roman" w:hAnsi="Times New Roman"/>
          <w:sz w:val="20"/>
        </w:rPr>
      </w:pPr>
      <w:r>
        <w:rPr>
          <w:rFonts w:ascii="Times New Roman" w:hAnsi="Times New Roman"/>
          <w:sz w:val="20"/>
        </w:rPr>
        <w:t xml:space="preserve">NON-U.S. HOLDERS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discussion, a Non-U.S. Holder is a beneficial owner of common stock, other than a partnership or other entity or arrangement treated as a pass-through entity, that is not,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that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 </w:t>
      </w:r>
    </w:p>
    <w:p>
      <w:pPr>
        <w:pStyle w:val="TextBody"/>
        <w:bidi w:val="0"/>
        <w:spacing w:before="240" w:after="0"/>
        <w:jc w:val="both"/>
        <w:rPr>
          <w:rFonts w:ascii="Times New Roman" w:hAnsi="Times New Roman"/>
          <w:sz w:val="20"/>
        </w:rPr>
      </w:pPr>
      <w:r>
        <w:rPr>
          <w:rFonts w:ascii="Times New Roman" w:hAnsi="Times New Roman"/>
          <w:sz w:val="20"/>
        </w:rPr>
        <w:t xml:space="preserve">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both"/>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both"/>
        <w:rPr>
          <w:rFonts w:ascii="Times New Roman" w:hAnsi="Times New Roman"/>
          <w:sz w:val="20"/>
        </w:rPr>
      </w:pPr>
      <w:r>
        <w:rPr>
          <w:rFonts w:ascii="Times New Roman" w:hAnsi="Times New Roman"/>
          <w:sz w:val="20"/>
        </w:rPr>
        <w:t xml:space="preserve">We do not expect to make any distributions on our common stock in the foreseeable future. If we do make distributions on our common stock, however, such distributions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Material U.S. Federal Income Tax Consequences to Non-U.S. Holders Gain on Disposition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discussions below under the sections titled Material U.S. Federal Income Tax Consequences to Non-U.S. HoldersBackup Withholding and Information Reporting and Material U.S. Federal Income Tax Consequences to Non-U.S. HoldersForeign Accounts, any distribution on our common stock that is treated as a dividend paid to a Non-U.S. Holder will generally be subject to U.S. federal withholding tax at a 30% rate or such lower rate as may be specified by an applicable income tax treaty between the United States and the Non-U.S. Holders country of residence. To obtain a reduced rate of withholding under an income tax treaty, a Non-U.S. Holder generally will be required to provide the applicable withholding agent with a properly executed IRS Form W-8BEN, IRS Form W-8BEN-E or other appropriate form, certifying the Non-U.S. Holders entitlement to benefits under the treaty. Such form must be provided prior to the payment of dividends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generally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 </w:t>
      </w:r>
    </w:p>
    <w:p>
      <w:pPr>
        <w:pStyle w:val="TextBody"/>
        <w:bidi w:val="0"/>
        <w:spacing w:before="240" w:after="0"/>
        <w:jc w:val="both"/>
        <w:rPr>
          <w:rFonts w:ascii="Times New Roman" w:hAnsi="Times New Roman"/>
          <w:sz w:val="20"/>
        </w:rPr>
      </w:pPr>
      <w:r>
        <w:rPr>
          <w:rFonts w:ascii="Times New Roman" w:hAnsi="Times New Roman"/>
          <w:sz w:val="20"/>
        </w:rPr>
        <w:t xml:space="preserve">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same rates applicable to United States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discussions below under the sections titled Material U.S. Federal Income Tax Consequences to Non-U.S. HoldersBackup Withholding and Information Reporting and Material U.S. Federal Income Tax Consequences to Non-U.S. Holders Foreign Accounts, a Non-U.S. Holder generally will not be subject to U.S. federal income or withholding tax with respect to gain realized on a sale or other disposition of our common stock unless (a) the gain is effectively connected with a trade or business of the Non-U.S. Holder in the United States (and, if required by an applicable income tax treaty, is attributable to a permanent establishment that the holder maintains in the United States), (b) the Non-U.S. Holder is a nonresident alien who is an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 year period preceding such disposition or the Non-U.S. Holders holding period in the common stock. </w:t>
      </w:r>
    </w:p>
    <w:p>
      <w:pPr>
        <w:pStyle w:val="TextBody"/>
        <w:bidi w:val="0"/>
        <w:spacing w:before="240" w:after="0"/>
        <w:jc w:val="both"/>
        <w:rPr>
          <w:rFonts w:ascii="Times New Roman" w:hAnsi="Times New Roman"/>
          <w:sz w:val="20"/>
        </w:rPr>
      </w:pPr>
      <w:r>
        <w:rPr>
          <w:rFonts w:ascii="Times New Roman" w:hAnsi="Times New Roman"/>
          <w:sz w:val="20"/>
        </w:rPr>
        <w:t xml:space="preserve">If you are a Non-U.S. Holder described in (a) above, you will be required to pay tax on the net gain derived from the sale at the same U.S. federal income tax rates applicable to United States persons. Corporate Non-U.S. Holders described in (a) above may also be subject to the additional branch profits tax at a 30% rate (or such lower rate as may be specified by an applicable income tax treaty) of their effectively connected earnings and profits for the taxable year, as adjusted for certain items. If you are an individual Non-U.S. Holder described in (b) above, you will be required to pay a flat 30% tax on the gain derived from the sale, which gain may be offset by certain U.S.-source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the sum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were to be treated as a U.S. real property holding corporation, gain realized by a Non-U.S. Holder on a disposition of our common stock would not be subject to U.S. federal income tax so long as (1) the Non-U.S. Holder owned, directly, indirectly or constructively, no more than 5% of our common stock at all times within the shorter of (i) the five-year period preceding the disposition or (ii) the Non-U.S. Holders holding period and (2) our common stock is regularly traded on an established securities market. There can be no assurance that our common stock will qualify as regularly traded on an established securities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Estate Tax </w:t>
      </w:r>
    </w:p>
    <w:p>
      <w:pPr>
        <w:pStyle w:val="TextBody"/>
        <w:bidi w:val="0"/>
        <w:spacing w:before="120" w:after="0"/>
        <w:jc w:val="both"/>
        <w:rPr>
          <w:rFonts w:ascii="Times New Roman" w:hAnsi="Times New Roman"/>
          <w:sz w:val="20"/>
        </w:rPr>
      </w:pPr>
      <w:r>
        <w:rPr>
          <w:rFonts w:ascii="Times New Roman" w:hAnsi="Times New Roman"/>
          <w:sz w:val="20"/>
        </w:rPr>
        <w:t xml:space="preserve">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 including the application of any applicable estate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both"/>
        <w:rPr>
          <w:rFonts w:ascii="Times New Roman" w:hAnsi="Times New Roman"/>
          <w:sz w:val="20"/>
        </w:rPr>
      </w:pPr>
      <w:r>
        <w:rPr>
          <w:rFonts w:ascii="Times New Roman" w:hAnsi="Times New Roman"/>
          <w:sz w:val="20"/>
        </w:rPr>
        <w:t xml:space="preserve">Generally, we or certain financial middlemen must report information to the IRS with respect to any distributions we pay on our common stock, including the amount of any such distributions,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Distributions paid by us (or our paying agents) to a Non-U.S. Holder may also be subject to U.S. federal backup withholding. U.S. federal backup withholding generally will not apply to a Non-U.S. Holder who provides a properly executed IRS Form W-8BEN, IRS Form W-8BEN-E, or IRS Form W-8 ECI, as applicable, or otherwise establishes an exemption, </w:t>
      </w:r>
      <w:r>
        <w:rPr>
          <w:rFonts w:ascii="Times New Roman" w:hAnsi="Times New Roman"/>
          <w:i/>
          <w:sz w:val="20"/>
        </w:rPr>
        <w:t xml:space="preserve">provided that </w:t>
      </w:r>
      <w:r>
        <w:rPr>
          <w:rFonts w:ascii="Times New Roman" w:hAnsi="Times New Roman"/>
          <w:sz w:val="20"/>
        </w:rPr>
        <w:t xml:space="preserve">the applicable withholding agent does not have actual knowledge or reason to know the holder is a United States person. </w:t>
      </w:r>
    </w:p>
    <w:p>
      <w:pPr>
        <w:pStyle w:val="TextBody"/>
        <w:bidi w:val="0"/>
        <w:spacing w:before="240" w:after="0"/>
        <w:jc w:val="both"/>
        <w:rPr>
          <w:rFonts w:ascii="Times New Roman" w:hAnsi="Times New Roman"/>
          <w:sz w:val="20"/>
        </w:rPr>
      </w:pPr>
      <w:r>
        <w:rPr>
          <w:rFonts w:ascii="Times New Roman" w:hAnsi="Times New Roman"/>
          <w:sz w:val="20"/>
        </w:rPr>
        <w:t xml:space="preserve">Under current U.S. federal income tax law, U.S. information reporting and backup withholding requirements generally will apply to the proceeds of a disposition of our common stock effected by or through a U.S. broker or a U.S. office of any broker, U.S. or non-U.S., unless the Non-U.S. Holder provides a properly executed IRS Form W-8BEN or IRS Form W-8BEN-E, or IRS Form W-8 ECI, as applicable,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United States person. For information reporting purposes, certain brokers with substantial U.S. ownership or operations will generally be treated in a manner similar to U.S. brokers.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If backup withholding is applied to you, you should consult with your own tax advisor to determine whether you have overpaid your U.S. federal income tax, and whether you are able to obtain a tax refund or credit of the overpaid amount.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In addition, U.S. federal withholding taxes may apply under the Foreign Account Tax Compliance Act, or FATCA,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also would apply to payments of gross proceeds from the sale or other disposition of common stock. Under proposed regulations, however, no withholding will apply with respect to payments of gross proceeds. The preamble to the proposed regulations specifies that taxpayers are permitted to rely on such proposed regulations pending finalization. </w:t>
      </w:r>
    </w:p>
    <w:p>
      <w:pPr>
        <w:pStyle w:val="TextBody"/>
        <w:bidi w:val="0"/>
        <w:spacing w:before="240" w:after="0"/>
        <w:jc w:val="both"/>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 OR UNDER ANY APPLICABLE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35745_18"/>
      <w:bookmarkEnd w:id="20"/>
      <w:r>
        <w:rPr>
          <w:rFonts w:ascii="Times New Roman" w:hAnsi="Times New Roman"/>
          <w:b/>
          <w:sz w:val="20"/>
        </w:rPr>
        <w:t xml:space="preserve">UNDERWRITING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Morgan Stanley &amp; Co. LLC, Jefferies LLC and Citigroup Global Markets Inc. are the representatives of the underwriters.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027"/>
        <w:gridCol w:w="383"/>
        <w:gridCol w:w="60"/>
        <w:gridCol w:w="1121"/>
        <w:gridCol w:w="62"/>
      </w:tblGrid>
      <w:tr>
        <w:trPr/>
        <w:tc>
          <w:tcPr>
            <w:tcW w:w="6027"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0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83"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w:t>
              <w:br/>
              <w:t>  Shares  </w:t>
            </w:r>
          </w:p>
        </w:tc>
        <w:tc>
          <w:tcPr>
            <w:tcW w:w="62" w:type="dxa"/>
            <w:tcBorders/>
            <w:vAlign w:val="bottom"/>
          </w:tcPr>
          <w:p>
            <w:pPr>
              <w:pStyle w:val="TableContents"/>
              <w:bidi w:val="0"/>
              <w:spacing w:before="0" w:after="283"/>
              <w:jc w:val="left"/>
              <w:rPr/>
            </w:pPr>
            <w:r>
              <w:rPr/>
              <w:t> </w:t>
            </w:r>
          </w:p>
        </w:tc>
      </w:tr>
      <w:tr>
        <w:trPr/>
        <w:tc>
          <w:tcPr>
            <w:tcW w:w="6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3,520,000</w:t>
            </w:r>
          </w:p>
        </w:tc>
        <w:tc>
          <w:tcPr>
            <w:tcW w:w="62" w:type="dxa"/>
            <w:tcBorders/>
            <w:shd w:fill="CCEEFF" w:val="clear"/>
            <w:vAlign w:val="bottom"/>
          </w:tcPr>
          <w:p>
            <w:pPr>
              <w:pStyle w:val="TableContents"/>
              <w:bidi w:val="0"/>
              <w:spacing w:before="0" w:after="283"/>
              <w:jc w:val="left"/>
              <w:rPr/>
            </w:pPr>
            <w:r>
              <w:rPr/>
              <w:t> </w:t>
            </w:r>
          </w:p>
        </w:tc>
      </w:tr>
      <w:tr>
        <w:trPr/>
        <w:tc>
          <w:tcPr>
            <w:tcW w:w="6027"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3,520,000</w:t>
            </w:r>
          </w:p>
        </w:tc>
        <w:tc>
          <w:tcPr>
            <w:tcW w:w="62" w:type="dxa"/>
            <w:tcBorders/>
            <w:vAlign w:val="bottom"/>
          </w:tcPr>
          <w:p>
            <w:pPr>
              <w:pStyle w:val="TableContents"/>
              <w:bidi w:val="0"/>
              <w:spacing w:before="0" w:after="283"/>
              <w:jc w:val="left"/>
              <w:rPr/>
            </w:pPr>
            <w:r>
              <w:rPr/>
              <w:t> </w:t>
            </w:r>
          </w:p>
        </w:tc>
      </w:tr>
      <w:tr>
        <w:trPr/>
        <w:tc>
          <w:tcPr>
            <w:tcW w:w="60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2,530,000</w:t>
            </w:r>
          </w:p>
        </w:tc>
        <w:tc>
          <w:tcPr>
            <w:tcW w:w="62" w:type="dxa"/>
            <w:tcBorders/>
            <w:shd w:fill="CCEEFF" w:val="clear"/>
            <w:vAlign w:val="bottom"/>
          </w:tcPr>
          <w:p>
            <w:pPr>
              <w:pStyle w:val="TableContents"/>
              <w:bidi w:val="0"/>
              <w:spacing w:before="0" w:after="283"/>
              <w:jc w:val="left"/>
              <w:rPr/>
            </w:pPr>
            <w:r>
              <w:rPr/>
              <w:t> </w:t>
            </w:r>
          </w:p>
        </w:tc>
      </w:tr>
      <w:tr>
        <w:trPr/>
        <w:tc>
          <w:tcPr>
            <w:tcW w:w="6027"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1,430,000</w:t>
            </w:r>
          </w:p>
        </w:tc>
        <w:tc>
          <w:tcPr>
            <w:tcW w:w="62" w:type="dxa"/>
            <w:tcBorders/>
            <w:vAlign w:val="bottom"/>
          </w:tcPr>
          <w:p>
            <w:pPr>
              <w:pStyle w:val="TableContents"/>
              <w:bidi w:val="0"/>
              <w:spacing w:before="0" w:after="283"/>
              <w:jc w:val="left"/>
              <w:rPr/>
            </w:pPr>
            <w:r>
              <w:rPr/>
              <w:t> </w:t>
            </w:r>
          </w:p>
        </w:tc>
      </w:tr>
      <w:tr>
        <w:trPr/>
        <w:tc>
          <w:tcPr>
            <w:tcW w:w="6027"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027" w:type="dxa"/>
            <w:tcBorders/>
            <w:shd w:fill="CCEEFF" w:val="clear"/>
          </w:tcPr>
          <w:p>
            <w:pPr>
              <w:pStyle w:val="TableContents"/>
              <w:bidi w:val="0"/>
              <w:spacing w:before="0" w:after="0"/>
              <w:jc w:val="left"/>
              <w:rPr/>
            </w:pPr>
            <w:r>
              <w:rPr/>
              <w:t>  </w:t>
            </w:r>
            <w:r>
              <w:rPr>
                <w:rFonts w:ascii="Times New Roman" w:hAnsi="Times New Roman"/>
                <w:sz w:val="20"/>
              </w:rPr>
              <w:t>Total</w:t>
            </w:r>
          </w:p>
        </w:tc>
        <w:tc>
          <w:tcPr>
            <w:tcW w:w="3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11,000,000</w:t>
            </w:r>
          </w:p>
        </w:tc>
        <w:tc>
          <w:tcPr>
            <w:tcW w:w="62" w:type="dxa"/>
            <w:tcBorders/>
            <w:shd w:fill="CCEEFF" w:val="clear"/>
            <w:vAlign w:val="bottom"/>
          </w:tcPr>
          <w:p>
            <w:pPr>
              <w:pStyle w:val="TableContents"/>
              <w:bidi w:val="0"/>
              <w:spacing w:before="0" w:after="283"/>
              <w:jc w:val="left"/>
              <w:rPr/>
            </w:pPr>
            <w:r>
              <w:rPr/>
              <w:t> </w:t>
            </w:r>
          </w:p>
        </w:tc>
      </w:tr>
      <w:tr>
        <w:trPr/>
        <w:tc>
          <w:tcPr>
            <w:tcW w:w="6027"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have an option to buy up to an additional 1,650,000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us. Such amounts are shown assuming both no exercise and full exercise of the underwriters option to purchase up to an additional 1,650,000 shares of common stock from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7"/>
        <w:gridCol w:w="228"/>
        <w:gridCol w:w="148"/>
        <w:gridCol w:w="1179"/>
        <w:gridCol w:w="60"/>
        <w:gridCol w:w="228"/>
        <w:gridCol w:w="153"/>
        <w:gridCol w:w="1218"/>
        <w:gridCol w:w="64"/>
      </w:tblGrid>
      <w:tr>
        <w:trPr/>
        <w:tc>
          <w:tcPr>
            <w:tcW w:w="6927"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2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22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1.26</w:t>
            </w:r>
          </w:p>
        </w:tc>
        <w:tc>
          <w:tcPr>
            <w:tcW w:w="64"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13,860.000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15,939,000</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Shares sold by the underwriters to the public will initially be offered at the initial public offering price set forth on the cover of this prospectus. Any shares sold by the underwriters to securities dealers may be sold at a discount of up to $0.756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both"/>
        <w:rPr>
          <w:rFonts w:ascii="Times New Roman" w:hAnsi="Times New Roman"/>
          <w:sz w:val="20"/>
        </w:rPr>
      </w:pPr>
      <w:r>
        <w:rPr>
          <w:rFonts w:ascii="Times New Roman" w:hAnsi="Times New Roman"/>
          <w:sz w:val="20"/>
        </w:rPr>
        <w:t xml:space="preserve">We and our officers, directors, and holders of substantially all of our capital stock and securities convertible into or exchangeable for our common stock have agreed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Morgan Stanley &amp; Co. LLC, and Jefferies LLC. This agreement does not apply to any existing employee benefit plans. See the section titled Shares Eligible for Future Sale for a discussion of certain transfer restrictions.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described above do not apply, subject in certain cases to various conditions, to our officers, directors and holders of substantially all of our capital stock with respect to certain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one or more </w:t>
            </w:r>
            <w:r>
              <w:rPr>
                <w:rFonts w:ascii="Times New Roman" w:hAnsi="Times New Roman"/>
                <w:i/>
                <w:sz w:val="20"/>
              </w:rPr>
              <w:t>bona fide</w:t>
            </w:r>
            <w:r>
              <w:rPr>
                <w:rFonts w:ascii="Times New Roman" w:hAnsi="Times New Roman"/>
                <w:sz w:val="20"/>
              </w:rPr>
              <w:t xml:space="preserve"> gifts or charitable contributions, or for </w:t>
            </w:r>
            <w:r>
              <w:rPr>
                <w:rFonts w:ascii="Times New Roman" w:hAnsi="Times New Roman"/>
                <w:i/>
                <w:sz w:val="20"/>
              </w:rPr>
              <w:t>bona fide</w:t>
            </w:r>
            <w:r>
              <w:rPr>
                <w:rFonts w:ascii="Times New Roman" w:hAnsi="Times New Roman"/>
                <w:sz w:val="20"/>
              </w:rPr>
              <w:t xml:space="preserve"> estate planning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upon death by will, testamentary document or the laws of intestate succession;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stockholder is a natural person, to any member of the stockholders immediate family (for purposes of the lock-up agreement, immediate family shall mean any relationship by blood, current or former marriage, domestic partnership or adoption, not more remote than first cousin) or to any trust for the direct or indirect benefit of the stockholder or the immediate family of the stockholder or, if the stockholder is a trust, to a trustor or beneficiary of the trust or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 corporation, partnership, limited liability company or other entity of which the stockholder and the immediate family of the stockholder are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 nominee or custodian of a person or entity to whom a disposition or transfer would be permissible under clauses (a)(i) through (iv)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stockholder is a corporation, partnership, limited liability company or other business entity, (A) to another corporation, partnership, limited liability company or other business entity that is an affiliate (as defined in Rule 405 under the Securities Act) of the stockholder, or to any investment fund or other entity which fund or entity is controlled or managed by the stockholder or affiliates of the stockholder, or (B) as part of a distribution by the stockholder to its stockholders, partners, members or other equityholders or to the estate of any such stockholders, partners, members or other equityholders;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operation of law, such as pursuant to a qualified domestic order, divorce settlement, divorce decree 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us from our employee upon death, disability or termination of employment, in each case, of such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stockholder is not our officer or director, in connection with a sale of the stockholders shares of common stock acquired (A) from the underwriters in the Public Offering or in the concurrent private placement or (B) in open market transactions after the closing date of the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us in connection with the vesting, settlement or exercise of restricted stock units, options, warrants or other rights to purchase shares of common stock (including, in each case, by way of net or cashless exercise) that are scheduled to expire or automatically vest during the restricted period,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the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connection with the sale on the open market or other similar transfer of up to 26,000 shares of common stock in the aggregate by certain of our former employees to satisfy any payment of exercise price, tax obligations or tax payments due as a result of the exercise of stock options, if such options expire or the post-termination exercise period applicable to such options expire during the restricted period, provided that any securities received upon such exercise that are not transferred to cover any such tax obligations shall be subject to the same lock-up restrictions, and provided further that no filing by any party (including, without limitation, any donor, donee, devisee, transferor, transferee, distributor or distributee) under the Exchange Act or other public filing, report or announcement shall be required or shall be voluntarily made in connection with such sale or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 the prior written consent of Goldman Sachs &amp; Co. LLC, Morgan Stanley &amp; Co. LLC and Jefferies LLC on behalf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entering into a written plan meeting the requirements of Rule 10b5-1 under the Exchange Act relating to the transfer, sale or other disposition of the securityholders securities, if then permitted by us, provided that none of the securities subject to such plan may be transferred, sold or otherwise disposed of until after the expiration of the restricted period and no public announcement, report or filing under the Exchange Act, or any other public filing, report or announcement, shall be required or shall be voluntarily made regarding the establishment of such plan during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xiv.</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transfers pursuant to a bona fide third-party tender offer, merger, consolidation or other similar transaction that is approved by our board of directors and made to all holders of our capital stock involving a Change of Control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our outstanding voting securities (or the surviving entity)); provided that in the event that such tender offer, merger, consolidation or other similar transaction is not completed, the securityholders securities shall remain subject to the provisions of the lock-up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xv.</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conversions of our outstanding preferred stock into shares of common stock, provided that any such shares received upon such conversion shall remain subject to the provisions of the lock-up agreement. </w:t>
            </w:r>
          </w:p>
        </w:tc>
      </w:tr>
    </w:tbl>
    <w:p>
      <w:pPr>
        <w:pStyle w:val="TextBody"/>
        <w:bidi w:val="0"/>
        <w:spacing w:before="120" w:after="0"/>
        <w:jc w:val="both"/>
        <w:rPr>
          <w:rFonts w:ascii="Times New Roman" w:hAnsi="Times New Roman"/>
          <w:sz w:val="20"/>
        </w:rPr>
      </w:pPr>
      <w:r>
        <w:rPr>
          <w:rFonts w:ascii="Times New Roman" w:hAnsi="Times New Roman"/>
          <w:sz w:val="20"/>
        </w:rPr>
        <w:t xml:space="preserve">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lock-up agreement in the form of this Lock-Up Agreement, (C) in the case of clauses (ii), (iii), (iv), (v) and (vi) above, no filing by any party (including, without limitation, any donor, donee, devisee, transferor, transferee, distributor or distributee) under the Exchange Act, or other public filing, report or announcement reporting a reduction in beneficial ownership of the stockholders holdings shall be required or shall be voluntarily made in connection with such transfer or distribution, and (D) in the case of clauses (i), (vii), (viii), (ix) and (x) above,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on transfers or other dispositions by us described above do not apply to us with respect to (i) the sale of shares of common stock pursuant to this offering, (ii) the issuance of shares of common stock or any securities (or any securities (including without limitation options, restricted stock or restricted stock units) convertible into, or exercisable for, shares of common stock pursuant to any employee stock option plan, incentive plan, stock plan, dividend reinvestment plan or otherwise in equity compensation arrangements in place as of the date of the underwriting agreement and described in this prospectus, (iii) the grant of awards pursuant to employee equity-based compensation plans, incentive plans, stock plans, or other arrangements in place as of the date of the underwriting agreement and described in this prospectus, (iv) the filing of a registration statement on Form S-8 in connection with the registration of shares of common stock issuable under any employee equity-based compensation plan, incentive plan, stock plan, dividend reinvestment plan adopted and approved by the our board of directors prior to the date of the underwriting agreement and described in this prospectus, (v) the issuance of up to 5% of the outstanding shares of our common stock in connection with the acquisition of the assets of, or a majority or controlling portion of the equity of, or a joint venture with another entity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with its acquisition us of such entity and (vi) the offer and sale of shares of our common stock pursuant to the concurrent private placement; provided that each recipient of any shares of common stock issued or sold pursuant to (ii)-(iii) and (v) above enter into a lock-up agreement with the underwriters with the same restrictions set forth above. </w:t>
      </w:r>
    </w:p>
    <w:p>
      <w:pPr>
        <w:pStyle w:val="TextBody"/>
        <w:bidi w:val="0"/>
        <w:spacing w:before="240" w:after="0"/>
        <w:jc w:val="both"/>
        <w:rPr>
          <w:rFonts w:ascii="Times New Roman" w:hAnsi="Times New Roman"/>
          <w:sz w:val="20"/>
        </w:rPr>
      </w:pPr>
      <w:r>
        <w:rPr>
          <w:rFonts w:ascii="Times New Roman" w:hAnsi="Times New Roman"/>
          <w:sz w:val="20"/>
        </w:rPr>
        <w:t xml:space="preserve">Prior to the offering, there has been no public market for the shares of our common stock. The initial public offering price has been negotiated among the company and the representatives. Among the factors considered in determining the initial public offering price of the shares, in addition to prevailing market conditions, will be the companys historical performance, estimates of the business potential and earnings prospects of the company, an assessment of our management and the consideration of the above factors in relation to market valuation of companies in related businesses. </w:t>
      </w:r>
    </w:p>
    <w:p>
      <w:pPr>
        <w:pStyle w:val="TextBody"/>
        <w:bidi w:val="0"/>
        <w:spacing w:before="240" w:after="0"/>
        <w:jc w:val="both"/>
        <w:rPr>
          <w:rFonts w:ascii="Times New Roman" w:hAnsi="Times New Roman"/>
          <w:sz w:val="20"/>
        </w:rPr>
      </w:pPr>
      <w:r>
        <w:rPr>
          <w:rFonts w:ascii="Times New Roman" w:hAnsi="Times New Roman"/>
          <w:sz w:val="20"/>
        </w:rPr>
        <w:t xml:space="preserve">We have been approved to list our common stock on Nasdaq Global Select Market under the symbol BIOA.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both"/>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our share of the total expenses of the offering and the concurrent private placement, excluding underwriting discounts and commissions and placement agent fees, will be approximately $5.0 million. We have agreed to reimburse the underwriters for certain of their expenses in an amount up to $45,000. </w:t>
      </w:r>
    </w:p>
    <w:p>
      <w:pPr>
        <w:pStyle w:val="TextBody"/>
        <w:bidi w:val="0"/>
        <w:spacing w:before="240" w:after="0"/>
        <w:jc w:val="both"/>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w:t>
      </w:r>
    </w:p>
    <w:p>
      <w:pPr>
        <w:pStyle w:val="TextBody"/>
        <w:bidi w:val="0"/>
        <w:spacing w:before="240" w:after="0"/>
        <w:jc w:val="both"/>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both"/>
        <w:rPr>
          <w:rFonts w:ascii="Times New Roman" w:hAnsi="Times New Roman"/>
          <w:sz w:val="20"/>
        </w:rPr>
      </w:pPr>
      <w:r>
        <w:rPr>
          <w:rFonts w:ascii="Times New Roman" w:hAnsi="Times New Roman"/>
          <w:sz w:val="20"/>
        </w:rPr>
        <w:t xml:space="preserve">Sofinnova Venture Partners XI, L.P., a beneficial owner of more than 5% of our outstanding capital stock and an affiliate of Dr. Healy, a member of our board of directors, will purchase from us approximately $10.6 million in shares of our common stock in a concurrent private placement exempt from the registration requirements of the Securities Act of 1933, as amended, at a per share price equal to the initial public offering price of $18.00 per share (588,888 shares). The private placement will close concurrently with, and is contingent and conditioned upon consummation of, this have entered offering, as well as certain other customary closing conditions. However, this offering is not contingent on the closing of the concurrent private placement. In connection with the concurrent private placement, we have entered into a stock purchase agreement with Sofinnova Venture Partners XI, L.P. In addition, an affiliate of Sofinnova Venture Partners, XI, L.P. is expected to invest up to $1.4 million directly in the public offering. </w:t>
      </w:r>
    </w:p>
    <w:p>
      <w:pPr>
        <w:pStyle w:val="TextBody"/>
        <w:bidi w:val="0"/>
        <w:spacing w:before="240" w:after="0"/>
        <w:jc w:val="both"/>
        <w:rPr>
          <w:rFonts w:ascii="Times New Roman" w:hAnsi="Times New Roman"/>
          <w:sz w:val="20"/>
        </w:rPr>
      </w:pPr>
      <w:r>
        <w:rPr>
          <w:rFonts w:ascii="Times New Roman" w:hAnsi="Times New Roman"/>
          <w:sz w:val="20"/>
        </w:rPr>
        <w:t xml:space="preserve">At our request, the underwriters have reserved 5% of the shares of common stock to be issued by the Company and offered by this prospectus for sale, at the initial public offering price, to directors, officers, employees, and certain of their friends or family. These shares will be reserved for sale through a traditional directed share program to certain entities and individuals identified by management. Management will provide the list of potential participants to Morgan Stanley &amp; Co. LLC, an underwriter of this offering, which will administer the directed share program. At this time, no indications of interest will be taken. Once the preliminary prospectus has been filed, an invitation package will be made available or sent to each person identified by management, which will include the preliminary prospectus and other directed share program documentation. An invitation to participate in the directed share program does not guarantee that the participant will receive an allocation of shares. Accordingly, we cannot provide any assurance that any director, officer, employee, or participant will receive an invitation or an allocation in the directed share program. If a potential participant is interested in participating, that participant will be required to complete the required documentation and will be required to return such documentation to the program administrator. The program administrator will not accept funds from any participant until after the registration statement for this offering is declared effective, this offering is priced, and the participants are notified of their final allocation and given an opportunity to confirm that they wish to purchase the shares allocated to them. After the registration statement has been declared effective and this offering is priced, we and the program administrator will prepare a final approved list of allocations. The program administrator will notify each participant who has been allocated shares of the number of shares that have been allocated and the total purchase price due upon confirmation of their participation. Thereafter, participants will be required to wire or transfer their funds to the program administrator. The shares under the directed share program will be allocated following pricing and settle in the same manner as the shares sold to the general public. If purchased by directors, officers or employees, these shares will be subject to a 180-day lock-up restriction.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underwriters will receive the same discount from such reserved shares as they will from other shares of our shares of common stock sold to the public in this offering. We have agreed to indemnify the underwriters against certain liabilities and expenses, including liabilities under the Securities Act, in connection with sales of the reserved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both"/>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both"/>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both"/>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both"/>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both"/>
        <w:rPr>
          <w:rFonts w:ascii="Times New Roman" w:hAnsi="Times New Roman"/>
          <w:sz w:val="20"/>
        </w:rPr>
      </w:pPr>
      <w:r>
        <w:rPr>
          <w:rFonts w:ascii="Times New Roman" w:hAnsi="Times New Roman"/>
          <w:sz w:val="20"/>
        </w:rPr>
        <w:t xml:space="preserve">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both"/>
        <w:rPr>
          <w:rFonts w:ascii="Times New Roman" w:hAnsi="Times New Roman"/>
          <w:sz w:val="20"/>
        </w:rPr>
      </w:pPr>
      <w:r>
        <w:rPr>
          <w:rFonts w:ascii="Times New Roman" w:hAnsi="Times New Roman"/>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both"/>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both"/>
        <w:rPr>
          <w:rFonts w:ascii="Times New Roman" w:hAnsi="Times New Roman"/>
          <w:sz w:val="20"/>
        </w:rPr>
      </w:pPr>
      <w:r>
        <w:rPr>
          <w:rFonts w:ascii="Times New Roman" w:hAnsi="Times New Roman"/>
          <w:sz w:val="20"/>
        </w:rPr>
        <w:t xml:space="preserve">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both"/>
        <w:rPr>
          <w:rFonts w:ascii="Times New Roman" w:hAnsi="Times New Roman"/>
          <w:sz w:val="20"/>
        </w:rPr>
      </w:pPr>
      <w:r>
        <w:rPr>
          <w:rFonts w:ascii="Times New Roman" w:hAnsi="Times New Roman"/>
          <w:sz w:val="20"/>
        </w:rPr>
        <w:t xml:space="preserve">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 </w:t>
      </w:r>
    </w:p>
    <w:p>
      <w:pPr>
        <w:pStyle w:val="TextBody"/>
        <w:bidi w:val="0"/>
        <w:spacing w:before="240" w:after="0"/>
        <w:jc w:val="both"/>
        <w:rPr>
          <w:rFonts w:ascii="Times New Roman" w:hAnsi="Times New Roman"/>
          <w:sz w:val="20"/>
        </w:rPr>
      </w:pPr>
      <w:r>
        <w:rPr>
          <w:rFonts w:ascii="Times New Roman" w:hAnsi="Times New Roman"/>
          <w:sz w:val="20"/>
        </w:rPr>
        <w:t xml:space="preserve">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or the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Brazil </w:t>
      </w:r>
    </w:p>
    <w:p>
      <w:pPr>
        <w:pStyle w:val="TextBody"/>
        <w:bidi w:val="0"/>
        <w:spacing w:before="120" w:after="0"/>
        <w:jc w:val="both"/>
        <w:rPr>
          <w:rFonts w:ascii="Times New Roman" w:hAnsi="Times New Roman"/>
          <w:sz w:val="20"/>
        </w:rPr>
      </w:pPr>
      <w:r>
        <w:rPr>
          <w:rFonts w:ascii="Times New Roman" w:hAnsi="Times New Roman"/>
          <w:sz w:val="20"/>
        </w:rPr>
        <w:t xml:space="preserve">The offer and sale of securities have not been and will not be registered with the Brazilian Securities Commission (Commisão de Valores Mobilários,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35745_19"/>
      <w:bookmarkEnd w:id="21"/>
      <w:r>
        <w:rPr>
          <w:rFonts w:ascii="Times New Roman" w:hAnsi="Times New Roman"/>
          <w:b/>
          <w:sz w:val="20"/>
        </w:rPr>
        <w:t xml:space="preserve">LEGAL MATTERS </w:t>
      </w:r>
    </w:p>
    <w:p>
      <w:pPr>
        <w:pStyle w:val="TextBody"/>
        <w:bidi w:val="0"/>
        <w:spacing w:before="120" w:after="0"/>
        <w:jc w:val="both"/>
        <w:rPr>
          <w:rFonts w:ascii="Times New Roman" w:hAnsi="Times New Roman"/>
          <w:sz w:val="20"/>
        </w:rPr>
      </w:pPr>
      <w:r>
        <w:rPr>
          <w:rFonts w:ascii="Times New Roman" w:hAnsi="Times New Roman"/>
          <w:sz w:val="20"/>
        </w:rPr>
        <w:t xml:space="preserve">The validity of the shares of our common stock offered by this prospectus will be passed upon for us by Fenwick &amp; West LLP, San Francisco, California. As of the date of this prospectus, individuals and entities associated with Fenwick &amp; West LLP beneficially own an aggregate of 16,655 shares of our common stock. Cooley LLP, San Diego, California is acting as counsel for the underwriters in connection with this offering. </w:t>
      </w:r>
    </w:p>
    <w:p>
      <w:pPr>
        <w:pStyle w:val="TextBody"/>
        <w:bidi w:val="0"/>
        <w:spacing w:before="480" w:after="0"/>
        <w:jc w:val="center"/>
        <w:rPr>
          <w:rFonts w:ascii="Times New Roman" w:hAnsi="Times New Roman"/>
          <w:b/>
          <w:sz w:val="20"/>
        </w:rPr>
      </w:pPr>
      <w:bookmarkStart w:id="22" w:name="toc835745_20"/>
      <w:bookmarkEnd w:id="22"/>
      <w:r>
        <w:rPr>
          <w:rFonts w:ascii="Times New Roman" w:hAnsi="Times New Roman"/>
          <w:b/>
          <w:sz w:val="20"/>
        </w:rPr>
        <w:t xml:space="preserve">EXPERTS </w:t>
      </w:r>
    </w:p>
    <w:p>
      <w:pPr>
        <w:pStyle w:val="TextBody"/>
        <w:bidi w:val="0"/>
        <w:spacing w:before="120" w:after="0"/>
        <w:jc w:val="both"/>
        <w:rPr>
          <w:rFonts w:ascii="Times New Roman" w:hAnsi="Times New Roman"/>
          <w:sz w:val="20"/>
        </w:rPr>
      </w:pPr>
      <w:r>
        <w:rPr>
          <w:rFonts w:ascii="Times New Roman" w:hAnsi="Times New Roman"/>
          <w:sz w:val="20"/>
        </w:rPr>
        <w:t xml:space="preserve">The consolidated financial statements of BioAge Labs, Inc. as of December 31, 2023 and 2022 and for each of the years in the two-year period ended December 31, 2023, have been included herein and in the registration statement in reliance upon the report of KPMG LLP, independent registered public accounting firm, appearing elsewhere herein, and upon the authority of said firm as experts in accounting and auditing. </w:t>
      </w:r>
    </w:p>
    <w:p>
      <w:pPr>
        <w:pStyle w:val="TextBody"/>
        <w:bidi w:val="0"/>
        <w:spacing w:before="480" w:after="0"/>
        <w:jc w:val="center"/>
        <w:rPr>
          <w:rFonts w:ascii="Times New Roman" w:hAnsi="Times New Roman"/>
          <w:b/>
          <w:sz w:val="20"/>
        </w:rPr>
      </w:pPr>
      <w:bookmarkStart w:id="23" w:name="toc835745_21"/>
      <w:bookmarkEnd w:id="23"/>
      <w:r>
        <w:rPr>
          <w:rFonts w:ascii="Times New Roman" w:hAnsi="Times New Roman"/>
          <w:b/>
          <w:sz w:val="20"/>
        </w:rPr>
        <w:t xml:space="preserve">WHERE YOU CAN FIND ADDITIONAL INFORMATION </w:t>
      </w:r>
    </w:p>
    <w:p>
      <w:pPr>
        <w:pStyle w:val="TextBody"/>
        <w:bidi w:val="0"/>
        <w:spacing w:before="120" w:after="0"/>
        <w:jc w:val="both"/>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document are not necessarily complete. Each statement in this prospectus relating to a contract or document filed as an exhibit is qualified in all respects by the filed exhibit. The exhibits to the registration statement should be reviewed for the complete contents of these contracts and documents. </w:t>
      </w:r>
    </w:p>
    <w:p>
      <w:pPr>
        <w:pStyle w:val="TextBody"/>
        <w:bidi w:val="0"/>
        <w:spacing w:before="240" w:after="0"/>
        <w:jc w:val="both"/>
        <w:rPr>
          <w:rFonts w:ascii="Times New Roman" w:hAnsi="Times New Roman"/>
          <w:sz w:val="20"/>
        </w:rPr>
      </w:pPr>
      <w:r>
        <w:rPr>
          <w:rFonts w:ascii="Times New Roman" w:hAnsi="Times New Roman"/>
          <w:sz w:val="20"/>
        </w:rPr>
        <w:t xml:space="preserve">We currently do not file periodic reports with the SEC. Upon the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 </w:t>
      </w:r>
    </w:p>
    <w:p>
      <w:pPr>
        <w:pStyle w:val="TextBody"/>
        <w:bidi w:val="0"/>
        <w:spacing w:before="240" w:after="0"/>
        <w:jc w:val="both"/>
        <w:rPr>
          <w:rFonts w:ascii="Times New Roman" w:hAnsi="Times New Roman"/>
          <w:sz w:val="20"/>
        </w:rPr>
      </w:pPr>
      <w:r>
        <w:rPr>
          <w:rFonts w:ascii="Times New Roman" w:hAnsi="Times New Roman"/>
          <w:sz w:val="20"/>
        </w:rPr>
        <w:t xml:space="preserve">We also maintain a website at https://www.bioagelabs.com. Upon completion of this offering, you may access our proxy statements, annual reports on Form 10-K, quarterly reports on Form 10-Q, current reports on Form 8-K, and amendments to those reports filed or furnished pursuant to Section 13(a) or 15(d) of the Exchange Act with the SEC on our website free of charge as soon as reasonably practicable after they are electronically filed with, or furnished to, the SEC. The information contained on, or that can be accessed through, our website is not part of, and is not incorporated into, this prospectus, and you should not consider the contents of our website in making an investment decision with respect to our common stock. We have included our website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bookmarkStart w:id="24" w:name="toc835745_22"/>
      <w:bookmarkEnd w:id="24"/>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86"/>
        <w:gridCol w:w="140"/>
        <w:gridCol w:w="60"/>
        <w:gridCol w:w="457"/>
        <w:gridCol w:w="62"/>
      </w:tblGrid>
      <w:tr>
        <w:trPr/>
        <w:tc>
          <w:tcPr>
            <w:tcW w:w="948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 as of and for the Years Ended December 31, 2023 and 2022:</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86" w:type="dxa"/>
            <w:tcBorders/>
          </w:tcPr>
          <w:p>
            <w:pPr>
              <w:pStyle w:val="TableContents"/>
              <w:bidi w:val="0"/>
              <w:spacing w:before="0" w:after="0"/>
              <w:jc w:val="left"/>
              <w:rPr/>
            </w:pPr>
            <w:hyperlink w:anchor="fin835745_1">
              <w:r>
                <w:rPr>
                  <w:rStyle w:val="InternetLink"/>
                  <w:rFonts w:ascii="Times New Roman" w:hAnsi="Times New Roman"/>
                  <w:sz w:val="20"/>
                </w:rPr>
                <w:t>Report of Independent Registered Public Accounting Firm</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2">
              <w:r>
                <w:rPr>
                  <w:rStyle w:val="InternetLink"/>
                  <w:rFonts w:ascii="Times New Roman" w:hAnsi="Times New Roman"/>
                  <w:sz w:val="20"/>
                </w:rPr>
                <w:t>Consolidated Balance Sheets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3">
              <w:r>
                <w:rPr>
                  <w:rStyle w:val="InternetLink"/>
                  <w:rFonts w:ascii="Times New Roman" w:hAnsi="Times New Roman"/>
                  <w:sz w:val="20"/>
                </w:rPr>
                <w:t>Consolidated Statements of Operations and Comprehensive Loss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4">
              <w:r>
                <w:rPr>
                  <w:rStyle w:val="InternetLink"/>
                  <w:rFonts w:ascii="Times New Roman" w:hAnsi="Times New Roman"/>
                  <w:sz w:val="20"/>
                </w:rPr>
                <w:t>Consolidated Statements of Redeemable Convertible Preferred Stock and Stockholders Deficit</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5">
              <w:r>
                <w:rPr>
                  <w:rStyle w:val="InternetLink"/>
                  <w:rFonts w:ascii="Times New Roman" w:hAnsi="Times New Roman"/>
                  <w:sz w:val="20"/>
                </w:rPr>
                <w:t>Consolidated Statements of Cash Flows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6">
              <w:r>
                <w:rPr>
                  <w:rStyle w:val="InternetLink"/>
                  <w:rFonts w:ascii="Times New Roman" w:hAnsi="Times New Roman"/>
                  <w:sz w:val="20"/>
                </w:rPr>
                <w:t>Notes to Consolidated Financial Statements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86" w:type="dxa"/>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9486" w:type="dxa"/>
            <w:tcBorders/>
          </w:tcPr>
          <w:p>
            <w:pPr>
              <w:pStyle w:val="TableContents"/>
              <w:bidi w:val="0"/>
              <w:spacing w:before="0" w:after="0"/>
              <w:jc w:val="left"/>
              <w:rPr>
                <w:rFonts w:ascii="Times New Roman" w:hAnsi="Times New Roman"/>
                <w:b/>
                <w:sz w:val="20"/>
              </w:rPr>
            </w:pPr>
            <w:r>
              <w:rPr>
                <w:rFonts w:ascii="Times New Roman" w:hAnsi="Times New Roman"/>
                <w:b/>
                <w:sz w:val="20"/>
              </w:rPr>
              <w:t>Condensed Consolidated Financial Statements as of and for the Six Months Ended June 30, 2024 and 2023:</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86" w:type="dxa"/>
            <w:tcBorders/>
          </w:tcPr>
          <w:p>
            <w:pPr>
              <w:pStyle w:val="TableContents"/>
              <w:bidi w:val="0"/>
              <w:spacing w:before="0" w:after="0"/>
              <w:jc w:val="left"/>
              <w:rPr/>
            </w:pPr>
            <w:hyperlink w:anchor="fin835745_7">
              <w:r>
                <w:rPr>
                  <w:rStyle w:val="InternetLink"/>
                  <w:rFonts w:ascii="Times New Roman" w:hAnsi="Times New Roman"/>
                  <w:sz w:val="20"/>
                </w:rPr>
                <w:t>Condensed Consolidated Balance Sheets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8">
              <w:r>
                <w:rPr>
                  <w:rStyle w:val="InternetLink"/>
                  <w:rFonts w:ascii="Times New Roman" w:hAnsi="Times New Roman"/>
                  <w:sz w:val="20"/>
                </w:rPr>
                <w:t>Unaudited Condensed Consolidated Statements of Operations and Comprehensive Loss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9">
              <w:r>
                <w:rPr>
                  <w:rStyle w:val="InternetLink"/>
                  <w:rFonts w:ascii="Times New Roman" w:hAnsi="Times New Roman"/>
                  <w:sz w:val="20"/>
                </w:rPr>
                <w:t>Unaudited Condensed Consolidated Statements of Redeemable Convertible Preferred Stock and Stockholders Deficit</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10">
              <w:r>
                <w:rPr>
                  <w:rStyle w:val="InternetLink"/>
                  <w:rFonts w:ascii="Times New Roman" w:hAnsi="Times New Roman"/>
                  <w:sz w:val="20"/>
                </w:rPr>
                <w:t>Unaudited Condensed Consolidated Statements of Cash Flows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r>
        <w:trPr/>
        <w:tc>
          <w:tcPr>
            <w:tcW w:w="9486" w:type="dxa"/>
            <w:tcBorders/>
          </w:tcPr>
          <w:p>
            <w:pPr>
              <w:pStyle w:val="TableContents"/>
              <w:bidi w:val="0"/>
              <w:spacing w:before="0" w:after="0"/>
              <w:jc w:val="left"/>
              <w:rPr/>
            </w:pPr>
            <w:hyperlink w:anchor="fin835745_11">
              <w:r>
                <w:rPr>
                  <w:rStyle w:val="InternetLink"/>
                  <w:rFonts w:ascii="Times New Roman" w:hAnsi="Times New Roman"/>
                  <w:sz w:val="20"/>
                </w:rPr>
                <w:t>Notes to Condensed Consolidated Financial Statements</w:t>
              </w:r>
            </w:hyperlink>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bookmarkStart w:id="25" w:name="fin835745_1"/>
      <w:bookmarkEnd w:id="25"/>
      <w:r>
        <w:rPr>
          <w:rFonts w:ascii="Times New Roman" w:hAnsi="Times New Roman"/>
          <w:b/>
          <w:sz w:val="20"/>
        </w:rPr>
        <w:t>Report of Independent Registered Public Accounting Firm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To the Stockholders and Board of Directors </w:t>
      </w:r>
    </w:p>
    <w:p>
      <w:pPr>
        <w:pStyle w:val="TextBody"/>
        <w:bidi w:val="0"/>
        <w:spacing w:before="0" w:after="0"/>
        <w:jc w:val="both"/>
        <w:rPr>
          <w:rFonts w:ascii="Times New Roman" w:hAnsi="Times New Roman"/>
          <w:sz w:val="20"/>
        </w:rPr>
      </w:pPr>
      <w:r>
        <w:rPr>
          <w:rFonts w:ascii="Times New Roman" w:hAnsi="Times New Roman"/>
          <w:sz w:val="20"/>
        </w:rPr>
        <w:t xml:space="preserve">BioAge Labs, Inc.: </w:t>
      </w:r>
    </w:p>
    <w:p>
      <w:pPr>
        <w:pStyle w:val="TextBody"/>
        <w:bidi w:val="0"/>
        <w:spacing w:before="360" w:after="0"/>
        <w:jc w:val="left"/>
        <w:rPr>
          <w:rFonts w:ascii="Times New Roman" w:hAnsi="Times New Roman"/>
          <w:sz w:val="20"/>
        </w:rPr>
      </w:pPr>
      <w:r>
        <w:rPr>
          <w:rFonts w:ascii="Times New Roman" w:hAnsi="Times New Roman"/>
          <w:i/>
          <w:sz w:val="20"/>
        </w:rPr>
        <w:t>Opinion on the Consolidated Financial Statements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We have audited the accompanying consolidated balance sheets of BioAge Labs, Inc. and subsidiary (the Company) as of December 31, 2023 and 2022, the related consolidated statements of operations and comprehensive loss, redeemable convertible preferred stock and stockholders deficit, and cash flows for each of the years in the two-year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two-year period ended December 31, 2023, in conformity with U.S. generally accepted accounting principles. </w:t>
      </w:r>
    </w:p>
    <w:p>
      <w:pPr>
        <w:pStyle w:val="TextBody"/>
        <w:bidi w:val="0"/>
        <w:spacing w:before="360" w:after="0"/>
        <w:jc w:val="left"/>
        <w:rPr>
          <w:rFonts w:ascii="Times New Roman" w:hAnsi="Times New Roman"/>
          <w:sz w:val="20"/>
        </w:rPr>
      </w:pPr>
      <w:r>
        <w:rPr>
          <w:rFonts w:ascii="Times New Roman" w:hAnsi="Times New Roman"/>
          <w:i/>
          <w:sz w:val="20"/>
        </w:rPr>
        <w:t>Basis for Opinion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both"/>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both"/>
        <w:rPr>
          <w:rFonts w:ascii="Times New Roman" w:hAnsi="Times New Roman"/>
          <w:sz w:val="20"/>
        </w:rPr>
      </w:pPr>
      <w:r>
        <w:rPr>
          <w:rFonts w:ascii="Times New Roman" w:hAnsi="Times New Roman"/>
          <w:sz w:val="20"/>
        </w:rPr>
        <w:t xml:space="preserve">/s/ KPMG LLP </w:t>
      </w:r>
    </w:p>
    <w:p>
      <w:pPr>
        <w:pStyle w:val="TextBody"/>
        <w:bidi w:val="0"/>
        <w:spacing w:before="240" w:after="0"/>
        <w:jc w:val="both"/>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240" w:after="0"/>
        <w:jc w:val="both"/>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both"/>
        <w:rPr>
          <w:rFonts w:ascii="Times New Roman" w:hAnsi="Times New Roman"/>
          <w:sz w:val="20"/>
        </w:rPr>
      </w:pPr>
      <w:r>
        <w:rPr>
          <w:rFonts w:ascii="Times New Roman" w:hAnsi="Times New Roman"/>
          <w:sz w:val="20"/>
        </w:rPr>
        <w:t xml:space="preserve">May 31, 2024, except for the effects of the reverse stock split discussed in Note 12E, as to which the date is September 18,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fin835745_2"/>
      <w:bookmarkEnd w:id="26"/>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76"/>
        <w:gridCol w:w="220"/>
        <w:gridCol w:w="148"/>
        <w:gridCol w:w="1352"/>
        <w:gridCol w:w="156"/>
        <w:gridCol w:w="191"/>
        <w:gridCol w:w="148"/>
        <w:gridCol w:w="1352"/>
        <w:gridCol w:w="162"/>
      </w:tblGrid>
      <w:tr>
        <w:trPr/>
        <w:tc>
          <w:tcPr>
            <w:tcW w:w="6476"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7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3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21,644</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27,644</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3,313</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349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386</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25,306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28,030</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100</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323</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323</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right-of-use asset, net</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195</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51</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25</w:t>
            </w:r>
          </w:p>
        </w:tc>
        <w:tc>
          <w:tcPr>
            <w:tcW w:w="162" w:type="dxa"/>
            <w:tcBorders/>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25,924</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28,429</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8196"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156" w:type="dxa"/>
            <w:tcBorders/>
          </w:tcPr>
          <w:p>
            <w:pPr>
              <w:pStyle w:val="TableContents"/>
              <w:bidi w:val="0"/>
              <w:spacing w:before="0" w:after="0"/>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1,866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2,261</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7,938</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3,384</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term loan</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6,000</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167</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194</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49</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notes</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20,674</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notes embedded derivative liability</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18,183</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Deferred grant income</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3,313</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58,168</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5,861</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8,201</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2,252</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229</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153</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66,598</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8,266</w:t>
            </w:r>
          </w:p>
        </w:tc>
        <w:tc>
          <w:tcPr>
            <w:tcW w:w="162" w:type="dxa"/>
            <w:tcBorders/>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par value of $0.00001, 31,634,362 shares authorized as of December 31, 2023 and 2022, and 31,465,128 shares issued and outstanding as of December 31, 2023 and 2022; aggregate liquidation preference of $131,864 as of December 31, 2023 and 2022</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132,722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132,722</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i/>
                <w:sz w:val="20"/>
              </w:rPr>
            </w:pPr>
            <w:r>
              <w:rPr>
                <w:rFonts w:ascii="Times New Roman" w:hAnsi="Times New Roman"/>
                <w:i/>
                <w:sz w:val="20"/>
              </w:rPr>
              <w:t>Commitments and Contingencies (note 8)</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$0.00001 par value; 52,400,000 shares authorized as of December 31, 2023 and 2022; 1,673,314 and 1,672,663 shares issued and outstanding as of December 31, 2023 and 2022, respectively</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8,142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5,122</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164</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167</w:t>
            </w:r>
          </w:p>
        </w:tc>
        <w:tc>
          <w:tcPr>
            <w:tcW w:w="162" w:type="dxa"/>
            <w:tcBorders/>
            <w:vAlign w:val="bottom"/>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(181,702</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(117,848</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(173,396</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(112,559</w:t>
            </w:r>
          </w:p>
        </w:tc>
        <w:tc>
          <w:tcPr>
            <w:tcW w:w="162" w:type="dxa"/>
            <w:tcBorders/>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2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   </w:t>
            </w:r>
            <w:r>
              <w:rPr/>
              <w:t>25,924</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   </w:t>
            </w:r>
            <w:r>
              <w:rPr/>
              <w:t>28,429</w:t>
            </w:r>
          </w:p>
        </w:tc>
        <w:tc>
          <w:tcPr>
            <w:tcW w:w="162" w:type="dxa"/>
            <w:tcBorders/>
            <w:shd w:fill="CCEEFF" w:val="clear"/>
            <w:vAlign w:val="bottom"/>
          </w:tcPr>
          <w:p>
            <w:pPr>
              <w:pStyle w:val="TableContents"/>
              <w:bidi w:val="0"/>
              <w:spacing w:before="0" w:after="283"/>
              <w:jc w:val="left"/>
              <w:rPr/>
            </w:pPr>
            <w:r>
              <w:rPr/>
              <w:t> </w:t>
            </w:r>
          </w:p>
        </w:tc>
      </w:tr>
      <w:tr>
        <w:trPr/>
        <w:tc>
          <w:tcPr>
            <w:tcW w:w="6476"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fin835745_3"/>
      <w:bookmarkEnd w:id="27"/>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33,886</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30,522</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14,514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9,447</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48,400</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39,969</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(48,400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(39,969</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(7,794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(241</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2,431</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465</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changes in fair value of warrants and derivative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(10,091</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23</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(15,454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247</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(63,854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(39,722</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38.17</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23.76</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1,672,793</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1,671,761</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(63,854</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(39,722</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246</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(63,857</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(39,476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bookmarkStart w:id="28" w:name="fin835745_4"/>
      <w:bookmarkEnd w:id="28"/>
      <w:r>
        <w:rPr>
          <w:rFonts w:ascii="Times New Roman" w:hAnsi="Times New Roman"/>
          <w:b/>
          <w:sz w:val="20"/>
        </w:rPr>
        <w:t xml:space="preserve">Consolidated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information) </w:t>
      </w:r>
    </w:p>
    <w:p>
      <w:pPr>
        <w:pStyle w:val="TextBody"/>
        <w:bidi w:val="0"/>
        <w:spacing w:before="0" w:after="0"/>
        <w:jc w:val="left"/>
        <w:rPr/>
      </w:pPr>
      <w:r>
        <w:rPr/>
        <w:t> </w:t>
      </w:r>
    </w:p>
    <w:tbl>
      <w:tblPr>
        <w:tblW w:w="12410" w:type="dxa"/>
        <w:jc w:val="center"/>
        <w:tblInd w:w="0" w:type="dxa"/>
        <w:tblLayout w:type="fixed"/>
        <w:tblCellMar>
          <w:top w:w="0" w:type="dxa"/>
          <w:left w:w="0" w:type="dxa"/>
          <w:bottom w:w="0" w:type="dxa"/>
          <w:right w:w="0" w:type="dxa"/>
        </w:tblCellMar>
      </w:tblPr>
      <w:tblGrid>
        <w:gridCol w:w="1160"/>
        <w:gridCol w:w="60"/>
        <w:gridCol w:w="71"/>
        <w:gridCol w:w="1310"/>
        <w:gridCol w:w="71"/>
        <w:gridCol w:w="71"/>
        <w:gridCol w:w="166"/>
        <w:gridCol w:w="956"/>
        <w:gridCol w:w="60"/>
        <w:gridCol w:w="120"/>
        <w:gridCol w:w="60"/>
        <w:gridCol w:w="980"/>
        <w:gridCol w:w="60"/>
        <w:gridCol w:w="60"/>
        <w:gridCol w:w="140"/>
        <w:gridCol w:w="740"/>
        <w:gridCol w:w="60"/>
        <w:gridCol w:w="60"/>
        <w:gridCol w:w="140"/>
        <w:gridCol w:w="1040"/>
        <w:gridCol w:w="60"/>
        <w:gridCol w:w="60"/>
        <w:gridCol w:w="225"/>
        <w:gridCol w:w="1385"/>
        <w:gridCol w:w="155"/>
        <w:gridCol w:w="60"/>
        <w:gridCol w:w="188"/>
        <w:gridCol w:w="1182"/>
        <w:gridCol w:w="155"/>
        <w:gridCol w:w="60"/>
        <w:gridCol w:w="184"/>
        <w:gridCol w:w="1156"/>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5"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Redeemable Convertible </w:t>
            </w:r>
            <w:r>
              <w:rPr/>
              <w:br/>
            </w:r>
            <w:r>
              <w:rPr>
                <w:b/>
              </w:rP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8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2021</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31,465,128</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132,722</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1,669,897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2,538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385"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(78,126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(75,667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options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2,540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Translation adjustment</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(39,722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(39,722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Balance, December 31, 2022</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31,465,128</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56" w:type="dxa"/>
            <w:tcBorders/>
            <w:vAlign w:val="bottom"/>
          </w:tcPr>
          <w:p>
            <w:pPr>
              <w:pStyle w:val="TableContents"/>
              <w:bidi w:val="0"/>
              <w:spacing w:before="0" w:after="283"/>
              <w:jc w:val="right"/>
              <w:rPr/>
            </w:pPr>
            <w:r>
              <w:rPr/>
              <w:t>132,722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1,672,663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5,122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385"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(117,848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(112,559</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options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3,016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Translation adjustment</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(63,854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(63,854</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31,465,128</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132,722</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1,673,314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  </w:t>
            </w:r>
            <w:r>
              <w:rPr/>
              <w:t>8,142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385" w:type="dxa"/>
            <w:tcBorders/>
            <w:shd w:fill="CCEEFF" w:val="clear"/>
            <w:vAlign w:val="bottom"/>
          </w:tcPr>
          <w:p>
            <w:pPr>
              <w:pStyle w:val="TableContents"/>
              <w:bidi w:val="0"/>
              <w:spacing w:before="0" w:after="283"/>
              <w:jc w:val="right"/>
              <w:rPr/>
            </w:pPr>
            <w:r>
              <w:rPr/>
              <w:t>  </w:t>
            </w:r>
            <w:r>
              <w:rPr/>
              <w:t>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(181,702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(173,396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3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120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bookmarkStart w:id="29" w:name="fin835745_5"/>
      <w:bookmarkEnd w:id="29"/>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5"/>
        <w:gridCol w:w="279"/>
        <w:gridCol w:w="148"/>
        <w:gridCol w:w="1210"/>
        <w:gridCol w:w="155"/>
        <w:gridCol w:w="279"/>
        <w:gridCol w:w="148"/>
        <w:gridCol w:w="1210"/>
        <w:gridCol w:w="161"/>
      </w:tblGrid>
      <w:tr>
        <w:trPr/>
        <w:tc>
          <w:tcPr>
            <w:tcW w:w="661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1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1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used in operating activities: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(63,854</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(39,722</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3,016</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2,540</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129</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6,512</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90</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10</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Loss from changes in fair value on derivative liability and warrants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10,091</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(23</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(30</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352</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994</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3,728</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(521</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Deferred grant income</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3,313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(37,362</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(36,181</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used in investing activities: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(103</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investments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(103</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provided by financing activities: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notes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23,500</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paid on convertible notes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term loan</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12,500</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2,500</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paid on term loan</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(45</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 principal payments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option exercises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44</w:t>
            </w:r>
          </w:p>
        </w:tc>
        <w:tc>
          <w:tcPr>
            <w:tcW w:w="161"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34,941</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2,499</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and cash equivalents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246</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(2,687</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(33,539</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as of beginning of the year</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27,644</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61,183</w:t>
            </w:r>
          </w:p>
        </w:tc>
        <w:tc>
          <w:tcPr>
            <w:tcW w:w="161"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as of end of the year</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24,957</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27,644</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1,155</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129</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obligation</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407</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334</w:t>
            </w:r>
          </w:p>
        </w:tc>
        <w:tc>
          <w:tcPr>
            <w:tcW w:w="161"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reconciliation</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  </w:t>
            </w:r>
            <w:r>
              <w:rPr/>
              <w:t>21,644</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10" w:type="dxa"/>
            <w:tcBorders/>
            <w:vAlign w:val="bottom"/>
          </w:tcPr>
          <w:p>
            <w:pPr>
              <w:pStyle w:val="TableContents"/>
              <w:bidi w:val="0"/>
              <w:spacing w:before="0" w:after="283"/>
              <w:jc w:val="right"/>
              <w:rPr/>
            </w:pPr>
            <w:r>
              <w:rPr/>
              <w:t>  </w:t>
            </w:r>
            <w:r>
              <w:rPr/>
              <w:t>27,644</w:t>
            </w:r>
          </w:p>
        </w:tc>
        <w:tc>
          <w:tcPr>
            <w:tcW w:w="161"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3,313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ending balance</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24,957</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27,644</w:t>
            </w:r>
          </w:p>
        </w:tc>
        <w:tc>
          <w:tcPr>
            <w:tcW w:w="161"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bookmarkStart w:id="30" w:name="fin835745_6"/>
      <w:bookmarkEnd w:id="30"/>
      <w:r>
        <w:rPr>
          <w:rFonts w:ascii="Times New Roman" w:hAnsi="Times New Roman"/>
          <w:b/>
          <w:sz w:val="20"/>
        </w:rPr>
        <w:t xml:space="preserve">Notes to Consolidated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Note 1. Nature of Business and Liquidity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Nature of Business </w:t>
      </w:r>
    </w:p>
    <w:p>
      <w:pPr>
        <w:pStyle w:val="TextBody"/>
        <w:bidi w:val="0"/>
        <w:spacing w:before="120" w:after="0"/>
        <w:jc w:val="both"/>
        <w:rPr>
          <w:rFonts w:ascii="Times New Roman" w:hAnsi="Times New Roman"/>
          <w:sz w:val="20"/>
        </w:rPr>
      </w:pPr>
      <w:r>
        <w:rPr>
          <w:rFonts w:ascii="Times New Roman" w:hAnsi="Times New Roman"/>
          <w:sz w:val="20"/>
        </w:rPr>
        <w:t xml:space="preserve">BioAge Labs, Inc. (the Company), is a clinical-stage biotechnology company developing therapeutic product candidates for metabolic diseases, such as obesity, by targeting a key risk factor: aging. The Companys lead product candidate, azelaprag, is an orally available small molecule that has been well-tolerated in over 240 individuals in seven Phase 1 clinical trials to date. The Company is also developing orally available, brain-penetrant inhibitors of NLRP3, a key driver of neuroinflammation, which is linked to many diseases including obesity. </w:t>
      </w:r>
    </w:p>
    <w:p>
      <w:pPr>
        <w:pStyle w:val="TextBody"/>
        <w:bidi w:val="0"/>
        <w:spacing w:before="240" w:after="0"/>
        <w:jc w:val="both"/>
        <w:rPr>
          <w:rFonts w:ascii="Times New Roman" w:hAnsi="Times New Roman"/>
          <w:sz w:val="20"/>
        </w:rPr>
      </w:pPr>
      <w:r>
        <w:rPr>
          <w:rFonts w:ascii="Times New Roman" w:hAnsi="Times New Roman"/>
          <w:sz w:val="20"/>
        </w:rPr>
        <w:t xml:space="preserve">The Company was incorporated in 2015 in the State of Delaware and is headquartered in Richmond, California.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Since inception, the Companys operations have consisted primarily of organizing and staffing the Company, business planning, raising capital, establishing its intellectual property portfolio, acquiring or discovering product candidates, research and development activities for its product candidates, establishing arrangements with third parties for the manufacture of its product candidates and component materials, and providing general and administrative support for these operations. The Company has not generated any product revenue to date.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incurred losses and negative cash flows from operations since inception and had an accumulated deficit of $181.7 million and $117.8 million as of December 31, 2023 and 2022, respectively. The Company anticipates incurring additional losses until such time, if ever, that it can generate significant sales of its products currently in development. As of December 31, 2023, the Company had cash, cash equivalents, and restricted cash of $25.0 million. In February 2024 (subsequent to year-end) the Company sold 49,713,402 shares of its Series D redeemable convertible preferred stock (Series D) at $3.4196 per share for gross proceeds of $170.0 million (the Series D Financing). </w:t>
      </w:r>
    </w:p>
    <w:p>
      <w:pPr>
        <w:pStyle w:val="TextBody"/>
        <w:bidi w:val="0"/>
        <w:spacing w:before="240" w:after="0"/>
        <w:jc w:val="both"/>
        <w:rPr>
          <w:rFonts w:ascii="Times New Roman" w:hAnsi="Times New Roman"/>
          <w:sz w:val="20"/>
        </w:rPr>
      </w:pPr>
      <w:r>
        <w:rPr>
          <w:rFonts w:ascii="Times New Roman" w:hAnsi="Times New Roman"/>
          <w:sz w:val="20"/>
        </w:rPr>
        <w:t xml:space="preserve">Current cash and cash equivalents are sufficient to fund planned operations for at least one year after the date these consolidated financial statements are issued given the cash proceeds received from the Companys Series D Financing. Accordingly, these consolidated financial statements have been prepared on a going concern basis and do not include any adjustments to the amounts and classification of assets and liabilities that may be necessary in the event the Company can no longer continue as a going concern. </w:t>
      </w:r>
    </w:p>
    <w:p>
      <w:pPr>
        <w:pStyle w:val="TextBody"/>
        <w:bidi w:val="0"/>
        <w:spacing w:before="240" w:after="0"/>
        <w:jc w:val="both"/>
        <w:rPr>
          <w:rFonts w:ascii="Times New Roman" w:hAnsi="Times New Roman"/>
          <w:sz w:val="20"/>
        </w:rPr>
      </w:pPr>
      <w:r>
        <w:rPr>
          <w:rFonts w:ascii="Times New Roman" w:hAnsi="Times New Roman"/>
          <w:sz w:val="20"/>
        </w:rPr>
        <w:t xml:space="preserve">Until such time, if ever, the Company can generate substantial product revenues, it expects to finance its cash needs through equity offerings, debt financings or other capital sources, which could include collaborations, strategic alliances or licensing arrangements. To the extent that the Company raises additional capital through the sale of equity or convertible debt securities, the ownership interests of its existing stockholders may be diluted, and the terms of these securities may include liquidation or other preferences that could adversely affect the rights of such stockholders. Debt financing, if available, may involve agreements that include restrictive covenants that limit the Companys ability to take specific actions, such as incurring additional debt, making capital expenditures or declaring dividends, that could adversely impact the Companys ability to conduct its business. If the Company raises additional funds through collaborations, strategic alliances or licensing arrangements with third parties, the Company may have to relinquish valuable rights to the Companys technologies, future revenue streams, research program or product candidates, or grant licenses on terms that may not be favorable to the Company. If the Company is unable to raise additional funds through equity or debt financings when needed, the Company may be required to delay, limit, reduce or terminate its product development or future commercialization efforts or grant rights to develop and market product candidates that the Company would otherwise prefer to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and Principles of Consolidation </w:t>
      </w:r>
    </w:p>
    <w:p>
      <w:pPr>
        <w:pStyle w:val="TextBody"/>
        <w:bidi w:val="0"/>
        <w:spacing w:before="120" w:after="0"/>
        <w:jc w:val="both"/>
        <w:rPr>
          <w:rFonts w:ascii="Times New Roman" w:hAnsi="Times New Roman"/>
          <w:sz w:val="20"/>
        </w:rPr>
      </w:pPr>
      <w:r>
        <w:rPr>
          <w:rFonts w:ascii="Times New Roman" w:hAnsi="Times New Roman"/>
          <w:sz w:val="20"/>
        </w:rPr>
        <w:t xml:space="preserve">The accompanying consolidated financial statements have been prepared in conformity with United States of America generally accepted accounting principles (GAAP) and applicable rules and regulations of the Securities and Exchange Commission (the SEC) regarding annual financial reporting. Any reference in these notes to applicable guidance is meant to refer to GAAP as found in the Accounting Standards Codification (ASC) and Accounting Standards Updates (ASU) promulgated by the Financial Accounting Standards Board (FASB). The consolidated financial statements include the accounts of BioAge Labs, Inc. and its wholly owned subsidiary, BioAge Labs PTY LTD. BioAge Labs PTY LTD was incorporated in Australia in December 2020. All intercompany accounts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Reverse Stock Split </w:t>
      </w:r>
    </w:p>
    <w:p>
      <w:pPr>
        <w:pStyle w:val="TextBody"/>
        <w:bidi w:val="0"/>
        <w:spacing w:before="120" w:after="0"/>
        <w:jc w:val="both"/>
        <w:rPr>
          <w:rFonts w:ascii="Times New Roman" w:hAnsi="Times New Roman"/>
          <w:sz w:val="20"/>
        </w:rPr>
      </w:pPr>
      <w:r>
        <w:rPr>
          <w:rFonts w:ascii="Times New Roman" w:hAnsi="Times New Roman"/>
          <w:sz w:val="20"/>
        </w:rPr>
        <w:t xml:space="preserve">On September 17, 2024, the Company amended its amended and restated certificate of incorporation in order to effect a 1-for-4.4626 reverse stock split of its outstanding shares of common stock (the Reverse Stock Split). As a result of the Reverse Stock Split, every 4.4626 shares of the Companys common stock issued or outstanding were automatically reclassified into one new share of common stock, subject to the treatment of fractional shares as described below, without any action on the part of the holders. All historical share and per-share amounts reflected throughout the accompanying consolidated financial statements have been retroactively adjusted to reflect the Reverse Stock Split as if the split occurred as of the earliest period presented. The Reverse Stock Split did not affect the number of authorized shares of common stock or the par value of the common stock. No fractional shares were issued in connection with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period. Actual results could differ materially and adversely from those estimates. </w:t>
      </w:r>
    </w:p>
    <w:p>
      <w:pPr>
        <w:pStyle w:val="TextBody"/>
        <w:bidi w:val="0"/>
        <w:spacing w:before="240" w:after="0"/>
        <w:jc w:val="both"/>
        <w:rPr>
          <w:rFonts w:ascii="Times New Roman" w:hAnsi="Times New Roman"/>
          <w:sz w:val="20"/>
        </w:rPr>
      </w:pPr>
      <w:r>
        <w:rPr>
          <w:rFonts w:ascii="Times New Roman" w:hAnsi="Times New Roman"/>
          <w:sz w:val="20"/>
        </w:rPr>
        <w:t xml:space="preserve">Estimates and assumptions are periodically reviewed and the effects of revisions are reflected in the consolidated financial statements in the period they are determined to be necessary. Areas that require managements estimates include the fair values of common and redeemable convertible preferred stock, warrant liability, embedded derivative liability, stock-based compensation expense assumptions, valuation of deferred tax assets, and accruals for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both"/>
        <w:rPr>
          <w:rFonts w:ascii="Times New Roman" w:hAnsi="Times New Roman"/>
          <w:sz w:val="20"/>
        </w:rPr>
      </w:pPr>
      <w:r>
        <w:rPr>
          <w:rFonts w:ascii="Times New Roman" w:hAnsi="Times New Roman"/>
          <w:sz w:val="20"/>
        </w:rPr>
        <w:t xml:space="preserve">Results of foreign operations are translated from their functional currency into U.S. dollars (reporting currency) using average exchange rates in effect during the year while assets and liabilities are translated into U.S. dollars using exchange rates in effect at the balance sheet date. The resulting translation adjustments are recorded in accumulated other comprehensive income (loss). Transaction gains and losses resulting from exchange rate changes on transactions denominated in currencies other than the U.S. dollar are included in operations in the period in which the transaction occurs.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extending healthy human life by targeting molecular causes of aging. The Companys Chief Executive Officer, who is the chief operating decision maker, reviews financial information on an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basis for allocating and evaluating financial performance. All long-lived assets are maintained in, and all losses are attributable to,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120" w:after="0"/>
        <w:jc w:val="both"/>
        <w:rPr>
          <w:rFonts w:ascii="Times New Roman" w:hAnsi="Times New Roman"/>
          <w:sz w:val="20"/>
        </w:rPr>
      </w:pPr>
      <w:r>
        <w:rPr>
          <w:rFonts w:ascii="Times New Roman" w:hAnsi="Times New Roman"/>
          <w:sz w:val="20"/>
        </w:rPr>
        <w:t xml:space="preserve">The Company considers all highly liquid investments that have original maturities of three months or less when acquired to be cash equivalents. Cash and cash equivalents as of December 31, 2023 and 2022 consisted of bank deposits and money market mutual funds invested in short-term U.S. government obligations. As of December 31, 2023 the Company had $3.3 million in restricted cash related to the Wellcome Leap Commercial Research Funding Agreement (Note 9). As of December 31, 2022, the Company did not have any restricted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both"/>
        <w:rPr>
          <w:rFonts w:ascii="Times New Roman" w:hAnsi="Times New Roman"/>
          <w:sz w:val="20"/>
        </w:rPr>
      </w:pPr>
      <w:r>
        <w:rPr>
          <w:rFonts w:ascii="Times New Roman" w:hAnsi="Times New Roman"/>
          <w:sz w:val="20"/>
        </w:rPr>
        <w:t xml:space="preserve">Cash and cash equivalents are financial instruments that are potentially subject to concentrations of credit risk to the extent they exceed the federal depository insurance limits. The Company is exposed to credit risk in the event of default by the financial institutions holding its cash and cash equivalents to the extent recorded in the balance sheets. While the Company has not experienced any losses in such accounts, the failure of Silicon Valley Bank (SVB) in 2023, at which the Company held cash and cash equivalents in multiple accounts, potentially exposed the Company to significant credit risk. The Federal Deposit Insurance Corporation (FDIC) issued a statement on March 13, 2023 that they intended to take action to fully protect SVB depositors, which they did on March 27, 2023, by making SVB a division of First Citizens Bank. As of the date of the issuance of these consolidated financial statements, the Company has full access to and control over all of its cash and cash equivalents. The Company has no financial instruments with off-balance sheet risk of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faces risks and uncertainties associated with companies in the biotechnology industry, including but not limited to the uncertainty of success of its preclinical studies and clinical trials, regulatory approval of product candidates, uncertainty of market acceptance of products, competition from substitute products and larger companies, the need for additional financing, compliance with government regulations, dependence on third parties, recruiting and retaining skilled personnel, and dependence on key members of management.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Property and equipment, net is carried at cost less accumulated depreciation. Depreciation is computed over the estimated useful lives of the respective assets using the straight</w:t>
      </w:r>
      <w:r>
        <w:rPr>
          <w:rFonts w:ascii="Times New Roman" w:hAnsi="Times New Roman"/>
          <w:b/>
          <w:i/>
          <w:sz w:val="20"/>
        </w:rPr>
        <w:t>-</w:t>
      </w:r>
      <w:r>
        <w:rPr>
          <w:rFonts w:ascii="Times New Roman" w:hAnsi="Times New Roman"/>
          <w:sz w:val="20"/>
        </w:rPr>
        <w:t xml:space="preserve">line method. Useful lives of property and equipment range from three to five years. Operating lease leasehold improvements are amortized over the lesser of the useful lives of the leasehold improvements or the lease term. Upon retirement or sale, the costs of the assets disposed of and the related accumulated depreciation are removed from the accounts and any resulting gain or loss is credited or charged to operations. Maintenance and repairs are expensed as incurred. Asset improvements are capitalized.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both"/>
        <w:rPr>
          <w:rFonts w:ascii="Times New Roman" w:hAnsi="Times New Roman"/>
          <w:sz w:val="20"/>
        </w:rPr>
      </w:pPr>
      <w:r>
        <w:rPr>
          <w:rFonts w:ascii="Times New Roman" w:hAnsi="Times New Roman"/>
          <w:sz w:val="20"/>
        </w:rPr>
        <w:t xml:space="preserve">The Company reviews long-lived assets for impairment whenever events or changes in circumstances indicate that the carrying amount of an asset may not be recoverable. Recoverability is measured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comparison of the carrying amount of an asset to future undiscounted net cash flows which the assets are expected to generate. If such assets are considered to be impaired, the impairment is measured by the excess of the carrying amount of the assets over fair value less the costs to sell the assets, generally determined using the projected discounted future net cash flows arising from the asset. The Company did not recognize any impairment of long-lived assets during the years ended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records redeemable convertible preferred stock net of issuance costs on the date of issuance, which represents the carrying value. Redeemable convertible preferred stock is classified outside of stockholders deficit as temporary equity on the accompanying consolidated balance sheets as events triggering the liquidation preferences, including a deemed liquidation event, are not solely within the Companys control. The Company has not remeasured redeemable convertible preferred stock. The carrying values of the redeemable convertible preferred stock will be adjusted to their liquidation preferences if and when it becomes probable that such a liquidation event will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Promissory Notes and Embedded Derivative Liability </w:t>
      </w:r>
    </w:p>
    <w:p>
      <w:pPr>
        <w:pStyle w:val="TextBody"/>
        <w:bidi w:val="0"/>
        <w:spacing w:before="120" w:after="0"/>
        <w:jc w:val="both"/>
        <w:rPr>
          <w:rFonts w:ascii="Times New Roman" w:hAnsi="Times New Roman"/>
          <w:sz w:val="20"/>
        </w:rPr>
      </w:pPr>
      <w:r>
        <w:rPr>
          <w:rFonts w:ascii="Times New Roman" w:hAnsi="Times New Roman"/>
          <w:sz w:val="20"/>
        </w:rPr>
        <w:t xml:space="preserve">Convertible promissory notes are recorded at the issued value. Debt discount and issuance costs, consisting of legal and other fees directly related to the debt, are offset against gross proceeds from the issuance of the convertible promissory notes and are amortized to interest expense over the life of the debt based on the effective interest method. Amortization expense is presented in interest expense in the consolidated statement of operations and comprehensive loss. </w:t>
      </w:r>
    </w:p>
    <w:p>
      <w:pPr>
        <w:pStyle w:val="TextBody"/>
        <w:bidi w:val="0"/>
        <w:spacing w:before="240" w:after="0"/>
        <w:jc w:val="both"/>
        <w:rPr>
          <w:rFonts w:ascii="Times New Roman" w:hAnsi="Times New Roman"/>
          <w:sz w:val="20"/>
        </w:rPr>
      </w:pPr>
      <w:r>
        <w:rPr>
          <w:rFonts w:ascii="Times New Roman" w:hAnsi="Times New Roman"/>
          <w:sz w:val="20"/>
        </w:rPr>
        <w:t xml:space="preserve">The Company reviews the terms of its convertible promissory notes to determine whether there are conversion features or embedded derivative instruments including embedded conversion options that are required to be bifurcated and accounted for separately as a derivative financial instrument. In circumstances where the convertible promissory notes contain more than one embedded derivative instrument, including conversion options that are required to be bifurcated, the bifurcated derivative instruments are accounted for as a single compound instrument. When convertible debt contains embedded derivative instruments that are to be bifurcated and accounted for separately, the total proceeds allocated to the convertible host instruments are first allocated to the fair value of the bifurcated derivative instrument. The remaining proceeds, if any, are then allocated to the convertible instruments themselves, usually resulting in those instruments being recorded at a discount from their face amount.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2023, the Company had bifurcated embedded derivatives related to its convertible promissory notes that are accounted for separately as derivative liabilities. Derivative liabilities are initially recorded at fair value and subsequently revalued at each reporting date with changes in fair value recognized separately on the consolidated statement of operations and comprehensive loss. Derivative liabilities are presented separately in the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Loan </w:t>
      </w:r>
    </w:p>
    <w:p>
      <w:pPr>
        <w:pStyle w:val="TextBody"/>
        <w:bidi w:val="0"/>
        <w:spacing w:before="120" w:after="0"/>
        <w:jc w:val="both"/>
        <w:rPr>
          <w:rFonts w:ascii="Times New Roman" w:hAnsi="Times New Roman"/>
          <w:sz w:val="20"/>
        </w:rPr>
      </w:pPr>
      <w:r>
        <w:rPr>
          <w:rFonts w:ascii="Times New Roman" w:hAnsi="Times New Roman"/>
          <w:sz w:val="20"/>
        </w:rPr>
        <w:t>Term loans are measured at net proceeds less debt discounts and issuance costs, which and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ASC Topic 815, </w:t>
      </w:r>
      <w:r>
        <w:rPr>
          <w:rFonts w:ascii="Times New Roman" w:hAnsi="Times New Roman"/>
          <w:i/>
          <w:sz w:val="20"/>
        </w:rPr>
        <w:t>Derivatives and Hedging</w:t>
      </w:r>
      <w:r>
        <w:rPr>
          <w:rFonts w:ascii="Times New Roman" w:hAnsi="Times New Roman"/>
          <w:sz w:val="20"/>
        </w:rPr>
        <w:t xml:space="preserve"> (Note 5).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Liability </w:t>
      </w:r>
    </w:p>
    <w:p>
      <w:pPr>
        <w:pStyle w:val="TextBody"/>
        <w:bidi w:val="0"/>
        <w:spacing w:before="120" w:after="0"/>
        <w:jc w:val="both"/>
        <w:rPr>
          <w:rFonts w:ascii="Times New Roman" w:hAnsi="Times New Roman"/>
          <w:sz w:val="20"/>
        </w:rPr>
      </w:pPr>
      <w:r>
        <w:rPr>
          <w:rFonts w:ascii="Times New Roman" w:hAnsi="Times New Roman"/>
          <w:sz w:val="20"/>
        </w:rPr>
        <w:t xml:space="preserve">Freestanding warrants for the Companys common stock are classified as liabilities and recorded at fair value, with any change in fair value recognized as a component of other income (loss). Such warrant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are subject to re-measurement at each balance sheet date until the earlier of the exercise of the warrants, expiration, or the completion of a change in control event. Upon exercise, the warrant liability would be reclassified to additional paid-in capital, at its then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costs are expensed as incurred and include all direct and indirect costs associated with the development of the Companys product candidates and other research programs. These expenses consist primarily of personnel costs, stock-based compensation charges, consulting fees, and payments to third parties for research, development, and manufacturing services as well as other allocated facility-related costs and overhead expenses. Nonrefundable advance payments for goods or services that will be used or rendered for future research and development activities are capitalized and expensed as the goods are delivered or the related services are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records accruals for estimated costs of research, preclinical studies, clinical trials, and manufacturing, which are significant components of research and development expenses. A substantial portion of the Companys ongoing research and development activities is conducted by third-party service providers, clinical research organizations (CROs), and clinical manufacturing organizations (CMOs). The Companys contracts with CROs generally include pass-through fees such as laboratory supplies and services,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or actual timeline (start-date and end-date) of the services and the agreed-upon fees to be paid for such services. In the event the Company makes advance payments, the payments are recorded as a prepaid expense and recognized as the services are performed. </w:t>
      </w:r>
    </w:p>
    <w:p>
      <w:pPr>
        <w:pStyle w:val="TextBody"/>
        <w:bidi w:val="0"/>
        <w:spacing w:before="240" w:after="0"/>
        <w:jc w:val="both"/>
        <w:rPr>
          <w:rFonts w:ascii="Times New Roman" w:hAnsi="Times New Roman"/>
          <w:sz w:val="20"/>
        </w:rPr>
      </w:pPr>
      <w:r>
        <w:rPr>
          <w:rFonts w:ascii="Times New Roman" w:hAnsi="Times New Roman"/>
          <w:sz w:val="20"/>
        </w:rPr>
        <w:t xml:space="preserve">As actual costs become known, including subsequent to the reporting date, the Company adjusts its accruals. Although the Company does not expect its estimates to be materially different from amounts actually incurred, such estimates for the status and timing of services performed relative to the actual status and timing of services performed may vary and could result in the Company reporting amounts that are too high or too low in any particular period. The Companys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the Companys estimates, resulting in adjustments to clinical trial expenses in future periods. Changes in these estimates that result in material changes to the Companys accruals could materially affect its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Acquired in-process research and development expense consists of payments incurred in connection with the acquisition or licensing of products or technologies that do not meet the definition of a business under FASB ASC Topic 805, </w:t>
      </w:r>
      <w:r>
        <w:rPr>
          <w:rFonts w:ascii="Times New Roman" w:hAnsi="Times New Roman"/>
          <w:i/>
          <w:sz w:val="20"/>
        </w:rPr>
        <w:t>Business Combinations</w:t>
      </w:r>
      <w:r>
        <w:rPr>
          <w:rFonts w:ascii="Times New Roman" w:hAnsi="Times New Roman"/>
          <w:sz w:val="20"/>
        </w:rPr>
        <w:t xml:space="preserve">. Costs incurred in obtaining technology licenses including upfront and milestone payments incurred under licensing agreements are recorded as expense in the period in which they are incurred, provided that the licensed technology, method or process has no alternative future uses other than for the specific research and development activities. Such payments are classified as cash flows from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activities in the Companys consolidated statements of cash flows. Milestone payments within the Companys licensing arrangements are recognized when achievement of the milestone payment is legally due and payable. To the extent products are commercialized and future economic benefit has been established, commercial milestones that become probable are capitalized and amortized over the estimated remaining useful life of the intellectual property. In addition, the Company accrues royalty expense and sublicense nonroyalty payments, as applicable, for the amount it is obligated to pay, with adjustments as sales are made.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Companys stock-based compensation program allows for grants of stock options and restricted stock awards. Grants are awarded to employees and non-employees, including directors. </w:t>
      </w:r>
    </w:p>
    <w:p>
      <w:pPr>
        <w:pStyle w:val="TextBody"/>
        <w:bidi w:val="0"/>
        <w:spacing w:before="240" w:after="0"/>
        <w:jc w:val="both"/>
        <w:rPr>
          <w:rFonts w:ascii="Times New Roman" w:hAnsi="Times New Roman"/>
          <w:sz w:val="20"/>
        </w:rPr>
      </w:pPr>
      <w:r>
        <w:rPr>
          <w:rFonts w:ascii="Times New Roman" w:hAnsi="Times New Roman"/>
          <w:sz w:val="20"/>
        </w:rPr>
        <w:t xml:space="preserve">Compensation cost for the Companys stock-based payments to employees, non-employees and directors, are based on estimated fair value of the awards on the date of grant. The Company estimates the fair value of options granted using the Black-Scholes option pricing model for stock option grants to both employees and non-employees. </w:t>
      </w:r>
    </w:p>
    <w:p>
      <w:pPr>
        <w:pStyle w:val="TextBody"/>
        <w:bidi w:val="0"/>
        <w:spacing w:before="240" w:after="0"/>
        <w:jc w:val="both"/>
        <w:rPr>
          <w:rFonts w:ascii="Times New Roman" w:hAnsi="Times New Roman"/>
          <w:sz w:val="20"/>
        </w:rPr>
      </w:pPr>
      <w:r>
        <w:rPr>
          <w:rFonts w:ascii="Times New Roman" w:hAnsi="Times New Roman"/>
          <w:sz w:val="20"/>
        </w:rPr>
        <w:t xml:space="preserve">The Companys stock-based compensation awards are subject to service-based vesting conditions. Compensation expense related to awards to employees, directors and non-employees with service-based vesting conditions is recognized on a straight-line basis based on the vesting date fair value over the associated service period of the award, which is generally the vesting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Income taxes are accounted for under the asset and liability method in accordance with ASC Topic 740, </w:t>
      </w:r>
      <w:r>
        <w:rPr>
          <w:rFonts w:ascii="Times New Roman" w:hAnsi="Times New Roman"/>
          <w:i/>
          <w:sz w:val="20"/>
        </w:rPr>
        <w:t>Income Taxes</w:t>
      </w:r>
      <w:r>
        <w:rPr>
          <w:rFonts w:ascii="Times New Roman" w:hAnsi="Times New Roman"/>
          <w:sz w:val="20"/>
        </w:rPr>
        <w:t xml:space="preserve">. Deferred tax assets and liabilities are recognized for the future tax consequences attributable to the differences between the financial statement carrying amounts of existing assets and liabilities and their respective tax bases and the operating loss and tax credit carry forwards. Deferred tax assets and liabilities are measured at the balance sheet date using the enacted tax rates expected to apply to taxable income in the years in which those temporary differences are expected to be recovered or settled. Deferred tax assets are reduced by a valuation allowance if it is more likely than not that these assets may not be realized. The Company determines whether it is more-likely-than-not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No interest or penalties were charged to the Company related to uncertain tax positions for the years ended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determines if an arrangement is a lease at the inception of the arrangement. Operating leases are included in right-of-use assets, current portion of operating lease liability, and operating lease liability, net of current portion in the accompanying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and exclude lease incentives. The Companys lease terms may include options to extend or terminate the lease when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reasonably certain that the Company will exercise any such options. Lease expense is recognized on a straight-line basis over the expected lease term. The Company has elected not to separate lease and non-lease components, such as common area maintenance charges, and instead it accounts for these as a single lease component. Leases with an initial term of 12 months or less are not recorded on the balance sheet, unless they include an option to purchase the underlying asset or to extend the lease that the Company is reasonably certain to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both"/>
        <w:rPr>
          <w:rFonts w:ascii="Times New Roman" w:hAnsi="Times New Roman"/>
          <w:sz w:val="20"/>
        </w:rPr>
      </w:pPr>
      <w:r>
        <w:rPr>
          <w:rFonts w:ascii="Times New Roman" w:hAnsi="Times New Roman"/>
          <w:sz w:val="20"/>
        </w:rPr>
        <w:t>Comprehensive loss is defined as a change in equity of a business enterprise during a period, resulting from transactions from non-owner sources. Comprehensive loss is comprised of net loss and other comprehensive income (loss). The Companys other comprehensive loss consists of foreign currency translation adjustments. Total comprehensive loss for all periods presented has been disclosed in the consolidated statements of operations and comprehensive loss.</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w:t>
      </w:r>
    </w:p>
    <w:p>
      <w:pPr>
        <w:pStyle w:val="TextBody"/>
        <w:bidi w:val="0"/>
        <w:spacing w:before="240" w:after="0"/>
        <w:jc w:val="both"/>
        <w:rPr>
          <w:rFonts w:ascii="Times New Roman" w:hAnsi="Times New Roman"/>
          <w:sz w:val="20"/>
        </w:rPr>
      </w:pPr>
      <w:r>
        <w:rPr>
          <w:rFonts w:ascii="Times New Roman" w:hAnsi="Times New Roman"/>
          <w:sz w:val="20"/>
        </w:rPr>
        <w:t xml:space="preserve">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attributable to common stockholders calculation, redeemable convertible preferred stock, stock options, and warrants are considered to be potentially dilutive securities. </w:t>
      </w:r>
    </w:p>
    <w:p>
      <w:pPr>
        <w:pStyle w:val="TextBody"/>
        <w:bidi w:val="0"/>
        <w:spacing w:before="240" w:after="0"/>
        <w:jc w:val="both"/>
        <w:rPr>
          <w:rFonts w:ascii="Times New Roman" w:hAnsi="Times New Roman"/>
          <w:sz w:val="20"/>
        </w:rPr>
      </w:pPr>
      <w:r>
        <w:rPr>
          <w:rFonts w:ascii="Times New Roman" w:hAnsi="Times New Roman"/>
          <w:sz w:val="20"/>
        </w:rPr>
        <w:t xml:space="preserve">The Company applies the two-class method to calculate its basic and diluted net loss per share attributable to common stockholders as the Company has issued shares that meet the definition of participating securities. The two-class method is an earnings allocation formula that treats a participating security as having rights to earnings that otherwise would have been available to common stockholders. Participating securities consist of common stock and redeemable convertible preferred stock.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 </w:t>
      </w:r>
    </w:p>
    <w:p>
      <w:pPr>
        <w:pStyle w:val="TextBody"/>
        <w:bidi w:val="0"/>
        <w:spacing w:before="240" w:after="0"/>
        <w:jc w:val="both"/>
        <w:rPr>
          <w:rFonts w:ascii="Times New Roman" w:hAnsi="Times New Roman"/>
          <w:sz w:val="20"/>
        </w:rPr>
      </w:pPr>
      <w:r>
        <w:rPr>
          <w:rFonts w:ascii="Times New Roman" w:hAnsi="Times New Roman"/>
          <w:sz w:val="20"/>
        </w:rPr>
        <w:t xml:space="preserve">Accordingly, in periods in which the Company reports a net loss, diluted net loss per share attributable to common stockholders is the same as basic net loss per share attributable to common stockholders, since dilutive common shares are not assumed to have been issued if their effect is anti-dilutive.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GAAP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Unobservable inputs are inputs that reflect the Companys assumptions about the inputs that market participants would use in pricing the asset or liability and are developed based on the best information available in the circumstances. </w:t>
      </w:r>
    </w:p>
    <w:p>
      <w:pPr>
        <w:pStyle w:val="TextBody"/>
        <w:bidi w:val="0"/>
        <w:spacing w:before="240" w:after="0"/>
        <w:jc w:val="both"/>
        <w:rPr>
          <w:rFonts w:ascii="Times New Roman" w:hAnsi="Times New Roman"/>
          <w:sz w:val="20"/>
        </w:rPr>
      </w:pPr>
      <w:r>
        <w:rPr>
          <w:rFonts w:ascii="Times New Roman" w:hAnsi="Times New Roman"/>
          <w:sz w:val="20"/>
        </w:rPr>
        <w:t xml:space="preserve">Fair value is established as the exchange price, or exit price, representing the amount that would be received to sell an asset or paid to transfer a liability in an orderly transaction between market participants. As a basis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considering market participant assumptions in fair value measurements, an established three-tier fair value hierarchy distinguishes between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Level 1 inputs are quoted prices in active markets that are accessible at the market date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Level 2 inputs are inputs other than quoted prices included within Level 1 that are observable for the asset or liability, either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Level 3 inputs are unobservable inputs that reflect the Companys own assumptions about the assumptions market participants would use in pricing the assets or liability. Financial assets and liabilities are classified in their entirety based on the lowest level of input that is significant to the fair value measurement.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instrument. </w:t>
      </w:r>
    </w:p>
    <w:p>
      <w:pPr>
        <w:pStyle w:val="TextBody"/>
        <w:bidi w:val="0"/>
        <w:spacing w:before="240" w:after="0"/>
        <w:jc w:val="both"/>
        <w:rPr>
          <w:rFonts w:ascii="Times New Roman" w:hAnsi="Times New Roman"/>
          <w:sz w:val="20"/>
        </w:rPr>
      </w:pPr>
      <w:r>
        <w:rPr>
          <w:rFonts w:ascii="Times New Roman" w:hAnsi="Times New Roman"/>
          <w:sz w:val="20"/>
        </w:rPr>
        <w:t xml:space="preserve">The carrying amounts of the Companys other current assets, accounts payable, accrued expenses and other current liabilities reported in the consolidated financial statements approximate their fair values due to their short-term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Not Yet Adopted </w:t>
      </w:r>
    </w:p>
    <w:p>
      <w:pPr>
        <w:pStyle w:val="TextBody"/>
        <w:bidi w:val="0"/>
        <w:spacing w:before="120" w:after="0"/>
        <w:jc w:val="both"/>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to improve its income tax disclosure requirements. Under the ASU, entities must annually (i) disclose specific categories in the rate reconciliation, (ii) provide additional information for reconciling items that meet a quantitative threshold, and (iii) disclose more detailed information about income taxes paid, including by jurisdiction; pretax income (or loss) from continuing operations; and income tax expense (or benefit). The ASU is effective for fiscal years beginning after December 15, 2024, with early adoption permitted. The Company does not expect this update to have a material impact on its consolidated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In November 2023, the FASB issued ASU 2023-07, </w:t>
      </w:r>
      <w:r>
        <w:rPr>
          <w:rFonts w:ascii="Times New Roman" w:hAnsi="Times New Roman"/>
          <w:i/>
          <w:sz w:val="20"/>
        </w:rPr>
        <w:t>Segment Reporting (Topic 280): Improvements to Reportable Segment Disclosures</w:t>
      </w:r>
      <w:r>
        <w:rPr>
          <w:rFonts w:ascii="Times New Roman" w:hAnsi="Times New Roman"/>
          <w:sz w:val="20"/>
        </w:rPr>
        <w:t xml:space="preserve">, which requires disclosure of incremental segment information on an annual and interim basis. This ASU is effective for fiscal years beginning after December 15, 2023, and interim periods within fiscal years beginning after December 15, 2024 on a retrospective basis. The Company is currently evaluating the potential impact that this standard may have on its consolidated financial statements and related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3. Fair Value Measurements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fair value hierarchy table presents information about each major category of the Companys financial assets and liabilities measured at fair value on a recurring basis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5"/>
        <w:gridCol w:w="207"/>
        <w:gridCol w:w="146"/>
        <w:gridCol w:w="1334"/>
        <w:gridCol w:w="60"/>
        <w:gridCol w:w="207"/>
        <w:gridCol w:w="153"/>
        <w:gridCol w:w="723"/>
        <w:gridCol w:w="60"/>
        <w:gridCol w:w="207"/>
        <w:gridCol w:w="147"/>
        <w:gridCol w:w="729"/>
        <w:gridCol w:w="60"/>
        <w:gridCol w:w="206"/>
        <w:gridCol w:w="146"/>
        <w:gridCol w:w="1334"/>
        <w:gridCol w:w="71"/>
      </w:tblGrid>
      <w:tr>
        <w:trPr/>
        <w:tc>
          <w:tcPr>
            <w:tcW w:w="4415"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51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71" w:type="dxa"/>
            <w:tcBorders/>
            <w:vAlign w:val="bottom"/>
          </w:tcPr>
          <w:p>
            <w:pPr>
              <w:pStyle w:val="TableContents"/>
              <w:bidi w:val="0"/>
              <w:spacing w:before="0" w:after="283"/>
              <w:jc w:val="left"/>
              <w:rPr/>
            </w:pPr>
            <w:r>
              <w:rPr/>
              <w:t> </w:t>
            </w:r>
          </w:p>
        </w:tc>
      </w:tr>
      <w:tr>
        <w:trPr/>
        <w:tc>
          <w:tcPr>
            <w:tcW w:w="441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1" w:type="dxa"/>
            <w:tcBorders/>
            <w:vAlign w:val="bottom"/>
          </w:tcPr>
          <w:p>
            <w:pPr>
              <w:pStyle w:val="TableContents"/>
              <w:bidi w:val="0"/>
              <w:spacing w:before="0" w:after="283"/>
              <w:jc w:val="left"/>
              <w:rPr/>
            </w:pPr>
            <w:r>
              <w:rPr/>
              <w:t> </w:t>
            </w:r>
          </w:p>
        </w:tc>
      </w:tr>
      <w:tr>
        <w:trPr/>
        <w:tc>
          <w:tcPr>
            <w:tcW w:w="4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441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   </w:t>
            </w:r>
            <w:r>
              <w:rPr/>
              <w:t>21,061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   </w:t>
            </w:r>
            <w:r>
              <w:rPr/>
              <w:t>21,061</w:t>
            </w:r>
          </w:p>
        </w:tc>
        <w:tc>
          <w:tcPr>
            <w:tcW w:w="71" w:type="dxa"/>
            <w:tcBorders/>
            <w:vAlign w:val="bottom"/>
          </w:tcPr>
          <w:p>
            <w:pPr>
              <w:pStyle w:val="TableContents"/>
              <w:bidi w:val="0"/>
              <w:spacing w:before="0" w:after="283"/>
              <w:jc w:val="left"/>
              <w:rPr/>
            </w:pPr>
            <w:r>
              <w:rPr/>
              <w:t> </w:t>
            </w:r>
          </w:p>
        </w:tc>
      </w:tr>
      <w:tr>
        <w:trPr/>
        <w:tc>
          <w:tcPr>
            <w:tcW w:w="4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4"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441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notes embedded derivative liability</w:t>
            </w:r>
          </w:p>
        </w:tc>
        <w:tc>
          <w:tcPr>
            <w:tcW w:w="2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18,183</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18,183</w:t>
            </w:r>
          </w:p>
        </w:tc>
        <w:tc>
          <w:tcPr>
            <w:tcW w:w="71" w:type="dxa"/>
            <w:tcBorders/>
            <w:vAlign w:val="bottom"/>
          </w:tcPr>
          <w:p>
            <w:pPr>
              <w:pStyle w:val="TableContents"/>
              <w:bidi w:val="0"/>
              <w:spacing w:before="0" w:after="283"/>
              <w:jc w:val="left"/>
              <w:rPr/>
            </w:pPr>
            <w:r>
              <w:rPr/>
              <w:t> </w:t>
            </w:r>
          </w:p>
        </w:tc>
      </w:tr>
      <w:tr>
        <w:trPr/>
        <w:tc>
          <w:tcPr>
            <w:tcW w:w="4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229</w:t>
            </w:r>
          </w:p>
        </w:tc>
        <w:tc>
          <w:tcPr>
            <w:tcW w:w="71" w:type="dxa"/>
            <w:tcBorders/>
            <w:shd w:fill="CCEEFF" w:val="clear"/>
            <w:vAlign w:val="bottom"/>
          </w:tcPr>
          <w:p>
            <w:pPr>
              <w:pStyle w:val="TableContents"/>
              <w:bidi w:val="0"/>
              <w:spacing w:before="0" w:after="283"/>
              <w:jc w:val="left"/>
              <w:rPr/>
            </w:pPr>
            <w:r>
              <w:rPr/>
              <w:t> </w:t>
            </w:r>
          </w:p>
        </w:tc>
      </w:tr>
      <w:tr>
        <w:trPr/>
        <w:tc>
          <w:tcPr>
            <w:tcW w:w="4415"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441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18,412</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18,412</w:t>
            </w:r>
          </w:p>
        </w:tc>
        <w:tc>
          <w:tcPr>
            <w:tcW w:w="71" w:type="dxa"/>
            <w:tcBorders/>
            <w:vAlign w:val="bottom"/>
          </w:tcPr>
          <w:p>
            <w:pPr>
              <w:pStyle w:val="TableContents"/>
              <w:bidi w:val="0"/>
              <w:spacing w:before="0" w:after="283"/>
              <w:jc w:val="left"/>
              <w:rPr/>
            </w:pPr>
            <w:r>
              <w:rPr/>
              <w:t> </w:t>
            </w:r>
          </w:p>
        </w:tc>
      </w:tr>
      <w:tr>
        <w:trPr/>
        <w:tc>
          <w:tcPr>
            <w:tcW w:w="4415"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3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334"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22"/>
        <w:gridCol w:w="208"/>
        <w:gridCol w:w="146"/>
        <w:gridCol w:w="1331"/>
        <w:gridCol w:w="60"/>
        <w:gridCol w:w="208"/>
        <w:gridCol w:w="152"/>
        <w:gridCol w:w="722"/>
        <w:gridCol w:w="60"/>
        <w:gridCol w:w="208"/>
        <w:gridCol w:w="152"/>
        <w:gridCol w:w="722"/>
        <w:gridCol w:w="59"/>
        <w:gridCol w:w="208"/>
        <w:gridCol w:w="146"/>
        <w:gridCol w:w="1331"/>
        <w:gridCol w:w="70"/>
      </w:tblGrid>
      <w:tr>
        <w:trPr/>
        <w:tc>
          <w:tcPr>
            <w:tcW w:w="442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4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550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70" w:type="dxa"/>
            <w:tcBorders/>
            <w:vAlign w:val="bottom"/>
          </w:tcPr>
          <w:p>
            <w:pPr>
              <w:pStyle w:val="TableContents"/>
              <w:bidi w:val="0"/>
              <w:spacing w:before="0" w:after="283"/>
              <w:jc w:val="left"/>
              <w:rPr/>
            </w:pPr>
            <w:r>
              <w:rPr/>
              <w:t> </w:t>
            </w:r>
          </w:p>
        </w:tc>
      </w:tr>
      <w:tr>
        <w:trPr/>
        <w:tc>
          <w:tcPr>
            <w:tcW w:w="44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5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4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4422"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31" w:type="dxa"/>
            <w:tcBorders/>
            <w:vAlign w:val="bottom"/>
          </w:tcPr>
          <w:p>
            <w:pPr>
              <w:pStyle w:val="TableContents"/>
              <w:bidi w:val="0"/>
              <w:spacing w:before="0" w:after="283"/>
              <w:jc w:val="right"/>
              <w:rPr/>
            </w:pPr>
            <w:r>
              <w:rPr/>
              <w:t>   </w:t>
            </w:r>
            <w:r>
              <w:rPr/>
              <w:t>14,875</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722" w:type="dxa"/>
            <w:tcBorders/>
            <w:vAlign w:val="bottom"/>
          </w:tcPr>
          <w:p>
            <w:pPr>
              <w:pStyle w:val="TableContents"/>
              <w:bidi w:val="0"/>
              <w:spacing w:before="0" w:after="283"/>
              <w:jc w:val="right"/>
              <w:rPr/>
            </w:pPr>
            <w:r>
              <w:rPr/>
              <w:t>   </w:t>
            </w:r>
            <w:r>
              <w:rPr/>
              <w:t></w:t>
            </w:r>
          </w:p>
        </w:tc>
        <w:tc>
          <w:tcPr>
            <w:tcW w:w="5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31" w:type="dxa"/>
            <w:tcBorders/>
            <w:vAlign w:val="bottom"/>
          </w:tcPr>
          <w:p>
            <w:pPr>
              <w:pStyle w:val="TableContents"/>
              <w:bidi w:val="0"/>
              <w:spacing w:before="0" w:after="283"/>
              <w:jc w:val="right"/>
              <w:rPr/>
            </w:pPr>
            <w:r>
              <w:rPr/>
              <w:t>   </w:t>
            </w:r>
            <w:r>
              <w:rPr/>
              <w:t>14,875</w:t>
            </w:r>
          </w:p>
        </w:tc>
        <w:tc>
          <w:tcPr>
            <w:tcW w:w="70" w:type="dxa"/>
            <w:tcBorders/>
            <w:vAlign w:val="bottom"/>
          </w:tcPr>
          <w:p>
            <w:pPr>
              <w:pStyle w:val="TableContents"/>
              <w:bidi w:val="0"/>
              <w:spacing w:before="0" w:after="283"/>
              <w:jc w:val="left"/>
              <w:rPr/>
            </w:pPr>
            <w:r>
              <w:rPr/>
              <w:t> </w:t>
            </w:r>
          </w:p>
        </w:tc>
      </w:tr>
      <w:tr>
        <w:trPr/>
        <w:tc>
          <w:tcPr>
            <w:tcW w:w="4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4422"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153</w:t>
            </w:r>
          </w:p>
        </w:tc>
        <w:tc>
          <w:tcPr>
            <w:tcW w:w="5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153</w:t>
            </w:r>
          </w:p>
        </w:tc>
        <w:tc>
          <w:tcPr>
            <w:tcW w:w="70" w:type="dxa"/>
            <w:tcBorders/>
            <w:vAlign w:val="bottom"/>
          </w:tcPr>
          <w:p>
            <w:pPr>
              <w:pStyle w:val="TableContents"/>
              <w:bidi w:val="0"/>
              <w:spacing w:before="0" w:after="283"/>
              <w:jc w:val="left"/>
              <w:rPr/>
            </w:pPr>
            <w:r>
              <w:rPr/>
              <w:t> </w:t>
            </w:r>
          </w:p>
        </w:tc>
      </w:tr>
      <w:tr>
        <w:trPr/>
        <w:tc>
          <w:tcPr>
            <w:tcW w:w="44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4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153</w:t>
            </w:r>
          </w:p>
        </w:tc>
        <w:tc>
          <w:tcPr>
            <w:tcW w:w="5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153</w:t>
            </w:r>
          </w:p>
        </w:tc>
        <w:tc>
          <w:tcPr>
            <w:tcW w:w="70" w:type="dxa"/>
            <w:tcBorders/>
            <w:shd w:fill="CCEEFF" w:val="clear"/>
            <w:vAlign w:val="bottom"/>
          </w:tcPr>
          <w:p>
            <w:pPr>
              <w:pStyle w:val="TableContents"/>
              <w:bidi w:val="0"/>
              <w:spacing w:before="0" w:after="283"/>
              <w:jc w:val="left"/>
              <w:rPr/>
            </w:pPr>
            <w:r>
              <w:rPr/>
              <w:t> </w:t>
            </w:r>
          </w:p>
        </w:tc>
      </w:tr>
      <w:tr>
        <w:trPr/>
        <w:tc>
          <w:tcPr>
            <w:tcW w:w="44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There were no changes in valuation techniques or transfers between category levels during the years ended December 31, 2023 and 2022. </w:t>
      </w:r>
    </w:p>
    <w:p>
      <w:pPr>
        <w:pStyle w:val="TextBody"/>
        <w:bidi w:val="0"/>
        <w:spacing w:before="360" w:after="0"/>
        <w:jc w:val="left"/>
        <w:rPr>
          <w:rFonts w:ascii="Times New Roman" w:hAnsi="Times New Roman"/>
          <w:sz w:val="20"/>
        </w:rPr>
      </w:pPr>
      <w:r>
        <w:rPr>
          <w:rFonts w:ascii="Times New Roman" w:hAnsi="Times New Roman"/>
          <w:b/>
          <w:i/>
          <w:sz w:val="20"/>
        </w:rPr>
        <w:t>Cash Equivalents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Cash equivalents include U.S. government obligation money market mutual funds that have a maturity of three months or less from the original acquisition date. The Companys cash equivalents are classified using Level 1 inputs within the fair value hierarchy because they are valued using quoted market prices. </w:t>
      </w:r>
    </w:p>
    <w:p>
      <w:pPr>
        <w:pStyle w:val="TextBody"/>
        <w:bidi w:val="0"/>
        <w:spacing w:before="360" w:after="0"/>
        <w:jc w:val="left"/>
        <w:rPr>
          <w:rFonts w:ascii="Times New Roman" w:hAnsi="Times New Roman"/>
          <w:sz w:val="20"/>
        </w:rPr>
      </w:pPr>
      <w:r>
        <w:rPr>
          <w:rFonts w:ascii="Times New Roman" w:hAnsi="Times New Roman"/>
          <w:b/>
          <w:i/>
          <w:sz w:val="20"/>
        </w:rPr>
        <w:t>Convertible Promissory Notes Embedded Derivative Liability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 Companys Convertible Promissory Notes (as defined in Note 5) contain equity conversion options, and certain repayment features, that have been identified as a single compound embedded derivative requiring bifurcation from the Convertible Promissory Notes. The Company estimated the fair value of the convertible promissory note embedded derivative liabilities on issuance using a with-and-without scenario analysis. The estimated probability and timing of underlying events triggering the conversion and liquidity repayment features as well as discount rates, volatility and share prices are inputs used to determine the estimated fair value of the embedded derivative.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a summary of the change in the estimated fair value of the Companys convertible promissory note embedded derivative liability for the year ended December 31,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11"/>
        <w:gridCol w:w="970"/>
        <w:gridCol w:w="312"/>
        <w:gridCol w:w="2849"/>
        <w:gridCol w:w="63"/>
      </w:tblGrid>
      <w:tr>
        <w:trPr/>
        <w:tc>
          <w:tcPr>
            <w:tcW w:w="6011" w:type="dxa"/>
            <w:tcBorders/>
            <w:vAlign w:val="center"/>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011"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left"/>
              <w:rPr/>
            </w:pPr>
            <w:r>
              <w:rPr/>
              <w:t>  </w:t>
            </w:r>
          </w:p>
        </w:tc>
        <w:tc>
          <w:tcPr>
            <w:tcW w:w="3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 Promissory Note</w:t>
              <w:br/>
              <w:t>Embedded Derivative Liability</w:t>
            </w:r>
          </w:p>
        </w:tc>
        <w:tc>
          <w:tcPr>
            <w:tcW w:w="63" w:type="dxa"/>
            <w:tcBorders/>
            <w:vAlign w:val="bottom"/>
          </w:tcPr>
          <w:p>
            <w:pPr>
              <w:pStyle w:val="TableContents"/>
              <w:bidi w:val="0"/>
              <w:spacing w:before="0" w:after="283"/>
              <w:jc w:val="left"/>
              <w:rPr/>
            </w:pPr>
            <w:r>
              <w:rPr/>
              <w:t> </w:t>
            </w:r>
          </w:p>
        </w:tc>
      </w:tr>
      <w:tr>
        <w:trPr/>
        <w:tc>
          <w:tcPr>
            <w:tcW w:w="60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at December 31, 2022</w:t>
            </w:r>
          </w:p>
        </w:tc>
        <w:tc>
          <w:tcPr>
            <w:tcW w:w="97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284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6011" w:type="dxa"/>
            <w:tcBorders/>
          </w:tcPr>
          <w:p>
            <w:pPr>
              <w:pStyle w:val="TableContents"/>
              <w:bidi w:val="0"/>
              <w:spacing w:before="0" w:after="0"/>
              <w:jc w:val="left"/>
              <w:rPr>
                <w:rFonts w:ascii="Times New Roman" w:hAnsi="Times New Roman"/>
                <w:sz w:val="20"/>
              </w:rPr>
            </w:pPr>
            <w:r>
              <w:rPr>
                <w:rFonts w:ascii="Times New Roman" w:hAnsi="Times New Roman"/>
                <w:sz w:val="20"/>
              </w:rPr>
              <w:t>Upon issuance of convertible promissory notes</w:t>
            </w:r>
          </w:p>
        </w:tc>
        <w:tc>
          <w:tcPr>
            <w:tcW w:w="97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849" w:type="dxa"/>
            <w:tcBorders/>
            <w:vAlign w:val="bottom"/>
          </w:tcPr>
          <w:p>
            <w:pPr>
              <w:pStyle w:val="TableContents"/>
              <w:bidi w:val="0"/>
              <w:spacing w:before="0" w:after="283"/>
              <w:jc w:val="right"/>
              <w:rPr/>
            </w:pPr>
            <w:r>
              <w:rPr/>
              <w:t>8,131</w:t>
            </w:r>
          </w:p>
        </w:tc>
        <w:tc>
          <w:tcPr>
            <w:tcW w:w="63" w:type="dxa"/>
            <w:tcBorders/>
            <w:vAlign w:val="bottom"/>
          </w:tcPr>
          <w:p>
            <w:pPr>
              <w:pStyle w:val="TableContents"/>
              <w:bidi w:val="0"/>
              <w:spacing w:before="0" w:after="283"/>
              <w:jc w:val="left"/>
              <w:rPr/>
            </w:pPr>
            <w:r>
              <w:rPr/>
              <w:t> </w:t>
            </w:r>
          </w:p>
        </w:tc>
      </w:tr>
      <w:tr>
        <w:trPr/>
        <w:tc>
          <w:tcPr>
            <w:tcW w:w="60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97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849" w:type="dxa"/>
            <w:tcBorders/>
            <w:shd w:fill="CCEEFF" w:val="clear"/>
            <w:vAlign w:val="bottom"/>
          </w:tcPr>
          <w:p>
            <w:pPr>
              <w:pStyle w:val="TableContents"/>
              <w:bidi w:val="0"/>
              <w:spacing w:before="0" w:after="283"/>
              <w:jc w:val="right"/>
              <w:rPr/>
            </w:pPr>
            <w:r>
              <w:rPr/>
              <w:t>10,052</w:t>
            </w:r>
          </w:p>
        </w:tc>
        <w:tc>
          <w:tcPr>
            <w:tcW w:w="63" w:type="dxa"/>
            <w:tcBorders/>
            <w:shd w:fill="CCEEFF" w:val="clear"/>
            <w:vAlign w:val="bottom"/>
          </w:tcPr>
          <w:p>
            <w:pPr>
              <w:pStyle w:val="TableContents"/>
              <w:bidi w:val="0"/>
              <w:spacing w:before="0" w:after="283"/>
              <w:jc w:val="left"/>
              <w:rPr/>
            </w:pPr>
            <w:r>
              <w:rPr/>
              <w:t> </w:t>
            </w:r>
          </w:p>
        </w:tc>
      </w:tr>
      <w:tr>
        <w:trPr/>
        <w:tc>
          <w:tcPr>
            <w:tcW w:w="6011"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284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011"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at December 31, 2023</w:t>
            </w:r>
          </w:p>
        </w:tc>
        <w:tc>
          <w:tcPr>
            <w:tcW w:w="97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2849" w:type="dxa"/>
            <w:tcBorders/>
            <w:vAlign w:val="bottom"/>
          </w:tcPr>
          <w:p>
            <w:pPr>
              <w:pStyle w:val="TableContents"/>
              <w:bidi w:val="0"/>
              <w:spacing w:before="0" w:after="283"/>
              <w:jc w:val="right"/>
              <w:rPr/>
            </w:pPr>
            <w:r>
              <w:rPr/>
              <w:t>   </w:t>
            </w:r>
            <w:r>
              <w:rPr/>
              <w:t>18,183</w:t>
            </w:r>
          </w:p>
        </w:tc>
        <w:tc>
          <w:tcPr>
            <w:tcW w:w="63" w:type="dxa"/>
            <w:tcBorders/>
            <w:vAlign w:val="bottom"/>
          </w:tcPr>
          <w:p>
            <w:pPr>
              <w:pStyle w:val="TableContents"/>
              <w:bidi w:val="0"/>
              <w:spacing w:before="0" w:after="283"/>
              <w:jc w:val="left"/>
              <w:rPr/>
            </w:pPr>
            <w:r>
              <w:rPr/>
              <w:t> </w:t>
            </w:r>
          </w:p>
        </w:tc>
      </w:tr>
      <w:tr>
        <w:trPr/>
        <w:tc>
          <w:tcPr>
            <w:tcW w:w="6011" w:type="dxa"/>
            <w:tcBorders/>
            <w:vAlign w:val="bottom"/>
          </w:tcPr>
          <w:p>
            <w:pPr>
              <w:pStyle w:val="TableContents"/>
              <w:bidi w:val="0"/>
              <w:spacing w:before="0" w:after="283"/>
              <w:jc w:val="left"/>
              <w:rPr>
                <w:sz w:val="4"/>
                <w:szCs w:val="4"/>
              </w:rPr>
            </w:pPr>
            <w:r>
              <w:rPr>
                <w:sz w:val="4"/>
                <w:szCs w:val="4"/>
              </w:rPr>
            </w:r>
          </w:p>
        </w:tc>
        <w:tc>
          <w:tcPr>
            <w:tcW w:w="97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284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i/>
          <w:sz w:val="20"/>
        </w:rPr>
        <w:t>Warrant Liability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The Companys warrant liability is classified using Level 3 inputs within the fair value hierarchy because the warrant liability is valued using both observable and unobservable inputs. For further discussion of the warrant liability fair value inputs and related fair value changes during the years ended December 31, 2023 and 2022 refer to Note 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4. Balance Sheet Components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4"/>
        <w:gridCol w:w="229"/>
        <w:gridCol w:w="140"/>
        <w:gridCol w:w="989"/>
        <w:gridCol w:w="160"/>
        <w:gridCol w:w="199"/>
        <w:gridCol w:w="140"/>
        <w:gridCol w:w="989"/>
        <w:gridCol w:w="165"/>
      </w:tblGrid>
      <w:tr>
        <w:trPr/>
        <w:tc>
          <w:tcPr>
            <w:tcW w:w="7194"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9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6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5"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5"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366</w:t>
            </w:r>
          </w:p>
        </w:tc>
        <w:tc>
          <w:tcPr>
            <w:tcW w:w="1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271</w:t>
            </w:r>
          </w:p>
        </w:tc>
        <w:tc>
          <w:tcPr>
            <w:tcW w:w="165"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323</w:t>
            </w:r>
          </w:p>
        </w:tc>
        <w:tc>
          <w:tcPr>
            <w:tcW w:w="1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252</w:t>
            </w:r>
          </w:p>
        </w:tc>
        <w:tc>
          <w:tcPr>
            <w:tcW w:w="165"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53</w:t>
            </w:r>
          </w:p>
        </w:tc>
        <w:tc>
          <w:tcPr>
            <w:tcW w:w="1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53</w:t>
            </w:r>
          </w:p>
        </w:tc>
        <w:tc>
          <w:tcPr>
            <w:tcW w:w="165"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742</w:t>
            </w:r>
          </w:p>
        </w:tc>
        <w:tc>
          <w:tcPr>
            <w:tcW w:w="1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576</w:t>
            </w:r>
          </w:p>
        </w:tc>
        <w:tc>
          <w:tcPr>
            <w:tcW w:w="165"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(419</w:t>
            </w:r>
          </w:p>
        </w:tc>
        <w:tc>
          <w:tcPr>
            <w:tcW w:w="1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(253</w:t>
            </w:r>
          </w:p>
        </w:tc>
        <w:tc>
          <w:tcPr>
            <w:tcW w:w="165"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   </w:t>
            </w:r>
            <w:r>
              <w:rPr/>
              <w:t>323</w:t>
            </w:r>
          </w:p>
        </w:tc>
        <w:tc>
          <w:tcPr>
            <w:tcW w:w="1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   </w:t>
            </w:r>
            <w:r>
              <w:rPr/>
              <w:t>323</w:t>
            </w:r>
          </w:p>
        </w:tc>
        <w:tc>
          <w:tcPr>
            <w:tcW w:w="165"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Depreciation expense for the years ended December 31, 2023 and 2022 was $0.2 million and $0.1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Accrued expenses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5"/>
        <w:gridCol w:w="222"/>
        <w:gridCol w:w="145"/>
        <w:gridCol w:w="1181"/>
        <w:gridCol w:w="60"/>
        <w:gridCol w:w="222"/>
        <w:gridCol w:w="145"/>
        <w:gridCol w:w="1181"/>
        <w:gridCol w:w="64"/>
      </w:tblGrid>
      <w:tr>
        <w:trPr/>
        <w:tc>
          <w:tcPr>
            <w:tcW w:w="698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9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2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2,516</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190</w:t>
            </w:r>
          </w:p>
        </w:tc>
        <w:tc>
          <w:tcPr>
            <w:tcW w:w="64"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Payroll and related costs</w:t>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4,033</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3,170</w:t>
            </w:r>
          </w:p>
        </w:tc>
        <w:tc>
          <w:tcPr>
            <w:tcW w:w="64"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1,389</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24</w:t>
            </w:r>
          </w:p>
        </w:tc>
        <w:tc>
          <w:tcPr>
            <w:tcW w:w="64"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   </w:t>
            </w:r>
            <w:r>
              <w:rPr/>
              <w:t>7,938</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   </w:t>
            </w:r>
            <w:r>
              <w:rPr/>
              <w:t>3,384</w:t>
            </w:r>
          </w:p>
        </w:tc>
        <w:tc>
          <w:tcPr>
            <w:tcW w:w="64"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5. Debt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Convertible Promissory Notes </w:t>
      </w:r>
    </w:p>
    <w:p>
      <w:pPr>
        <w:pStyle w:val="TextBody"/>
        <w:bidi w:val="0"/>
        <w:spacing w:before="120" w:after="0"/>
        <w:jc w:val="both"/>
        <w:rPr>
          <w:rFonts w:ascii="Times New Roman" w:hAnsi="Times New Roman"/>
          <w:sz w:val="20"/>
        </w:rPr>
      </w:pPr>
      <w:r>
        <w:rPr>
          <w:rFonts w:ascii="Times New Roman" w:hAnsi="Times New Roman"/>
          <w:sz w:val="20"/>
        </w:rPr>
        <w:t xml:space="preserve">In February 2023, the Company issued four convertible promissory notes with an aggregate principal amount of $23.5 million. Each note has an interest rate of 4% per annum and a maturity date of May 10, 2024 (the Convertible Promissory Notes). The weighted-average effective interest rate of the convertible promissory notes at issuance was 40.0%. </w:t>
      </w:r>
    </w:p>
    <w:p>
      <w:pPr>
        <w:pStyle w:val="TextBody"/>
        <w:bidi w:val="0"/>
        <w:spacing w:before="240" w:after="0"/>
        <w:jc w:val="both"/>
        <w:rPr>
          <w:rFonts w:ascii="Times New Roman" w:hAnsi="Times New Roman"/>
          <w:sz w:val="20"/>
        </w:rPr>
      </w:pPr>
      <w:r>
        <w:rPr>
          <w:rFonts w:ascii="Times New Roman" w:hAnsi="Times New Roman"/>
          <w:sz w:val="20"/>
        </w:rPr>
        <w:t xml:space="preserve">The notes and any accrued but unpaid interest are convertible at either the date of a qualified financing of at least $20.0 million (a Qualified Financing), or on the maturity date, at the option of the respective holder, and are convertible into the same securities issued in the Qualified Financing, or if no qualified financing occurs prior to maturity, then shall be convertible into the Companys Series C redeemable convertible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Upon a Qualified Financing, the Convertible Promissory Notes automatically convert into shares of the Companys redeemable convertible preferred stock on the same conditions applicable for the Qualified Financing at a conversion price equal to the lowest price per share paid in the Qualified Financing multiplied by a discount factor ranging from 0.6 to 1.0 depending on the timing of the Qualified Financing. </w:t>
      </w:r>
    </w:p>
    <w:p>
      <w:pPr>
        <w:pStyle w:val="TextBody"/>
        <w:bidi w:val="0"/>
        <w:spacing w:before="240" w:after="0"/>
        <w:jc w:val="both"/>
        <w:rPr>
          <w:rFonts w:ascii="Times New Roman" w:hAnsi="Times New Roman"/>
          <w:sz w:val="20"/>
        </w:rPr>
      </w:pPr>
      <w:r>
        <w:rPr>
          <w:rFonts w:ascii="Times New Roman" w:hAnsi="Times New Roman"/>
          <w:sz w:val="20"/>
        </w:rPr>
        <w:t xml:space="preserve">The fair value of the convertible promissory notes and related embedded derivative liability was $39.2 million as of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Term Loan </w:t>
      </w:r>
    </w:p>
    <w:p>
      <w:pPr>
        <w:pStyle w:val="TextBody"/>
        <w:bidi w:val="0"/>
        <w:spacing w:before="120" w:after="0"/>
        <w:jc w:val="both"/>
        <w:rPr>
          <w:rFonts w:ascii="Times New Roman" w:hAnsi="Times New Roman"/>
          <w:sz w:val="20"/>
        </w:rPr>
      </w:pPr>
      <w:r>
        <w:rPr>
          <w:rFonts w:ascii="Times New Roman" w:hAnsi="Times New Roman"/>
          <w:sz w:val="20"/>
        </w:rPr>
        <w:t xml:space="preserve">In May 2022, the Company entered into a loan and security agreement (the Loan Agreement) with SVB Innovative Credit Growth Fund IX, LP and Innovative Credit Growth Fund VIII-A, LP, (collectively, the Lenders) pursuant to which the Company was eligible to borrow, and the Lenders are obligated to fund up to $25.0 million in borrowing capacity across two potential tranches (the Term Loan). At the closing of the Loan Agreement in May 2022, the Company drew $2.5 million from the first tranche (the Initial Term Loan) and in May 2023 the Company drew $12.5 million from the second tranche (the Additional Term Loan).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Initial Term Loan of $2.5 million, the Company issued to the Lenders warrants to purchase 19,420 shares of the Companys common stock. The warrants expire on May 20, 2032 and had a fair value of $125,602 at issuance. Similarly, in connection with the Additional Term Loan draw, the Company issued an additional warrant to purchase 5,548 shares of the Companys common stock. The warrants expire on May 20, 2032 and had a fair value of $37,050 at issuance. As a result, proceeds from the debt equal to the fair value were allocated to these warrants and are amortized as part of the debt discount over the life of the Term Loan. </w:t>
      </w:r>
    </w:p>
    <w:p>
      <w:pPr>
        <w:pStyle w:val="TextBody"/>
        <w:bidi w:val="0"/>
        <w:spacing w:before="240" w:after="0"/>
        <w:jc w:val="both"/>
        <w:rPr>
          <w:rFonts w:ascii="Times New Roman" w:hAnsi="Times New Roman"/>
          <w:sz w:val="20"/>
        </w:rPr>
      </w:pPr>
      <w:r>
        <w:rPr>
          <w:rFonts w:ascii="Times New Roman" w:hAnsi="Times New Roman"/>
          <w:sz w:val="20"/>
        </w:rPr>
        <w:t xml:space="preserve">Interest for the Term Loan accrues at a floating per annum rate equal to the greater of (i) the Prime rate plus 4.00% or (ii) 7.50%. Interest is due monthly on the first business day of each month, commencing in June 2022. The Term Loan is scheduled to mature on April 1, 2026 and commencing on November 1, 2023 the Company is required to make monthly principal payments. The Company may prepay all of the outstanding principal balance of the Term Loan, at its option, prior to the maturity date subject to a prepayment premium ranging from 1.0% to 2.0%. The prepayment premium will apply to any mandatory or voluntary prepayment, but will not be due upon a refinancing of the outstanding Term Loan with another credit facility from SVB. In addition, the Company will also be required to pay a final payment fee equal to 4.4% of the total amount borrowed. </w:t>
      </w:r>
    </w:p>
    <w:p>
      <w:pPr>
        <w:pStyle w:val="TextBody"/>
        <w:bidi w:val="0"/>
        <w:spacing w:before="240" w:after="0"/>
        <w:jc w:val="both"/>
        <w:rPr>
          <w:rFonts w:ascii="Times New Roman" w:hAnsi="Times New Roman"/>
          <w:sz w:val="20"/>
        </w:rPr>
      </w:pPr>
      <w:r>
        <w:rPr>
          <w:rFonts w:ascii="Times New Roman" w:hAnsi="Times New Roman"/>
          <w:sz w:val="20"/>
        </w:rPr>
        <w:t xml:space="preserve">The Companys obligations under the Loan Agreement are subject to acceleration upon the occurrence of customary events of default, including payment default, insolvency and the occurrence of certain events having a material adverse effect on the Company, including (but not limited to) material adverse effects upon the business, operations, properties, assets or financial condition of the Company and its subsidiaries, taken as a whole. </w:t>
      </w:r>
    </w:p>
    <w:p>
      <w:pPr>
        <w:pStyle w:val="TextBody"/>
        <w:bidi w:val="0"/>
        <w:spacing w:before="240" w:after="0"/>
        <w:jc w:val="both"/>
        <w:rPr>
          <w:rFonts w:ascii="Times New Roman" w:hAnsi="Times New Roman"/>
          <w:sz w:val="20"/>
        </w:rPr>
      </w:pPr>
      <w:r>
        <w:rPr>
          <w:rFonts w:ascii="Times New Roman" w:hAnsi="Times New Roman"/>
          <w:sz w:val="20"/>
        </w:rPr>
        <w:t xml:space="preserve">The Loan Agreement includes positive and negative covenants that the Company must comply with and is secured by the assets of the Company that are pledged as collateral. </w:t>
      </w:r>
    </w:p>
    <w:p>
      <w:pPr>
        <w:pStyle w:val="TextBody"/>
        <w:bidi w:val="0"/>
        <w:spacing w:before="240" w:after="0"/>
        <w:jc w:val="both"/>
        <w:rPr>
          <w:rFonts w:ascii="Times New Roman" w:hAnsi="Times New Roman"/>
          <w:sz w:val="20"/>
        </w:rPr>
      </w:pPr>
      <w:r>
        <w:rPr>
          <w:rFonts w:ascii="Times New Roman" w:hAnsi="Times New Roman"/>
          <w:sz w:val="20"/>
        </w:rPr>
        <w:t xml:space="preserve">Debt issuance costs, including the fair value of the warrants, have been treated as debt discounts in the consolidated balance sheet and together with the final payment are being amortized to interest expense throughout the life of the Term Loan using the effective interest rate method. As of December 31, 2023 and 2022, there were unamortized issuance costs and debt discounts of $0.1 million, which are recorded as a direct deduction from the Term Loan in the consolidated balance sheet. Interest expense related to the Loan Agreement was $1.5 million and $0.2 million for the years ended December 31, 2023, and 2022, respectively. As of December 31, 2023, the stated rate on the Term Loan was 12.5%. As of December 31, 2023, the effective interest rate on the Term Loan, including the amortization of the debt discount and accretion of the final payment, was 16.8% for the Initial Term Loan and 15.2% Additional Term Loan. The carrying amount of the Term Loan is subject to variable interest rates, which are based on current market rates, and as such, approximate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components of the Term Loan balance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9"/>
        <w:gridCol w:w="223"/>
        <w:gridCol w:w="149"/>
        <w:gridCol w:w="1356"/>
        <w:gridCol w:w="156"/>
        <w:gridCol w:w="195"/>
        <w:gridCol w:w="149"/>
        <w:gridCol w:w="1216"/>
        <w:gridCol w:w="162"/>
      </w:tblGrid>
      <w:tr>
        <w:trPr/>
        <w:tc>
          <w:tcPr>
            <w:tcW w:w="6599"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9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2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loan balance</w:t>
            </w:r>
          </w:p>
        </w:tc>
        <w:tc>
          <w:tcPr>
            <w:tcW w:w="2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   </w:t>
            </w:r>
            <w:r>
              <w:rPr/>
              <w:t>14,000</w:t>
            </w:r>
          </w:p>
        </w:tc>
        <w:tc>
          <w:tcPr>
            <w:tcW w:w="15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2,500</w:t>
            </w:r>
          </w:p>
        </w:tc>
        <w:tc>
          <w:tcPr>
            <w:tcW w:w="162" w:type="dxa"/>
            <w:tcBorders/>
            <w:shd w:fill="CCEEFF" w:val="clear"/>
            <w:vAlign w:val="bottom"/>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Times New Roman" w:hAnsi="Times New Roman"/>
                <w:sz w:val="20"/>
              </w:rPr>
            </w:pPr>
            <w:r>
              <w:rPr>
                <w:rFonts w:ascii="Times New Roman" w:hAnsi="Times New Roman"/>
                <w:sz w:val="20"/>
              </w:rPr>
              <w:t>Final fee</w:t>
            </w:r>
          </w:p>
        </w:tc>
        <w:tc>
          <w:tcPr>
            <w:tcW w:w="2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298</w:t>
            </w:r>
          </w:p>
        </w:tc>
        <w:tc>
          <w:tcPr>
            <w:tcW w:w="15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36</w:t>
            </w:r>
          </w:p>
        </w:tc>
        <w:tc>
          <w:tcPr>
            <w:tcW w:w="162"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discount</w:t>
            </w:r>
          </w:p>
        </w:tc>
        <w:tc>
          <w:tcPr>
            <w:tcW w:w="2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(97</w:t>
            </w:r>
          </w:p>
        </w:tc>
        <w:tc>
          <w:tcPr>
            <w:tcW w:w="15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(117</w:t>
            </w:r>
          </w:p>
        </w:tc>
        <w:tc>
          <w:tcPr>
            <w:tcW w:w="162" w:type="dxa"/>
            <w:tcBorders/>
            <w:shd w:fill="CCEEFF" w:val="clear"/>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Times New Roman" w:hAnsi="Times New Roman"/>
                <w:sz w:val="20"/>
              </w:rPr>
            </w:pPr>
            <w:r>
              <w:rPr>
                <w:rFonts w:ascii="Times New Roman" w:hAnsi="Times New Roman"/>
                <w:sz w:val="20"/>
              </w:rPr>
              <w:t>Total Term Loan</w:t>
            </w:r>
          </w:p>
        </w:tc>
        <w:tc>
          <w:tcPr>
            <w:tcW w:w="2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14,201</w:t>
            </w:r>
          </w:p>
        </w:tc>
        <w:tc>
          <w:tcPr>
            <w:tcW w:w="15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2,419</w:t>
            </w:r>
          </w:p>
        </w:tc>
        <w:tc>
          <w:tcPr>
            <w:tcW w:w="162"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of Term loan</w:t>
            </w:r>
          </w:p>
        </w:tc>
        <w:tc>
          <w:tcPr>
            <w:tcW w:w="2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(6,000</w:t>
            </w:r>
          </w:p>
        </w:tc>
        <w:tc>
          <w:tcPr>
            <w:tcW w:w="15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(167</w:t>
            </w:r>
          </w:p>
        </w:tc>
        <w:tc>
          <w:tcPr>
            <w:tcW w:w="162" w:type="dxa"/>
            <w:tcBorders/>
            <w:shd w:fill="CCEEFF" w:val="clear"/>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2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56" w:type="dxa"/>
            <w:tcBorders/>
            <w:vAlign w:val="bottom"/>
          </w:tcPr>
          <w:p>
            <w:pPr>
              <w:pStyle w:val="TableContents"/>
              <w:bidi w:val="0"/>
              <w:spacing w:before="0" w:after="283"/>
              <w:jc w:val="right"/>
              <w:rPr/>
            </w:pPr>
            <w:r>
              <w:rPr/>
              <w:t>8,201</w:t>
            </w:r>
          </w:p>
        </w:tc>
        <w:tc>
          <w:tcPr>
            <w:tcW w:w="15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216" w:type="dxa"/>
            <w:tcBorders/>
            <w:vAlign w:val="bottom"/>
          </w:tcPr>
          <w:p>
            <w:pPr>
              <w:pStyle w:val="TableContents"/>
              <w:bidi w:val="0"/>
              <w:spacing w:before="0" w:after="283"/>
              <w:jc w:val="right"/>
              <w:rPr/>
            </w:pPr>
            <w:r>
              <w:rPr/>
              <w:t>   </w:t>
            </w:r>
            <w:r>
              <w:rPr/>
              <w:t>2,252</w:t>
            </w:r>
          </w:p>
        </w:tc>
        <w:tc>
          <w:tcPr>
            <w:tcW w:w="162" w:type="dxa"/>
            <w:tcBorders/>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5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December 31, 2023, the estimated future principal payments under the Term Loan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57"/>
        <w:gridCol w:w="312"/>
        <w:gridCol w:w="155"/>
        <w:gridCol w:w="1418"/>
        <w:gridCol w:w="63"/>
      </w:tblGrid>
      <w:tr>
        <w:trPr/>
        <w:tc>
          <w:tcPr>
            <w:tcW w:w="825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2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312" w:type="dxa"/>
            <w:tcBorders/>
            <w:vAlign w:val="bottom"/>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Principal</w:t>
              <w:br/>
              <w:t>Payments</w:t>
            </w:r>
          </w:p>
        </w:tc>
        <w:tc>
          <w:tcPr>
            <w:tcW w:w="63" w:type="dxa"/>
            <w:tcBorders/>
            <w:vAlign w:val="bottom"/>
          </w:tcPr>
          <w:p>
            <w:pPr>
              <w:pStyle w:val="TableContents"/>
              <w:bidi w:val="0"/>
              <w:spacing w:before="0" w:after="283"/>
              <w:jc w:val="left"/>
              <w:rPr/>
            </w:pPr>
            <w:r>
              <w:rPr/>
              <w:t> </w:t>
            </w:r>
          </w:p>
        </w:tc>
      </w:tr>
      <w:tr>
        <w:trPr/>
        <w:tc>
          <w:tcPr>
            <w:tcW w:w="8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31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418" w:type="dxa"/>
            <w:tcBorders/>
            <w:shd w:fill="CCEEFF" w:val="clear"/>
            <w:vAlign w:val="bottom"/>
          </w:tcPr>
          <w:p>
            <w:pPr>
              <w:pStyle w:val="TableContents"/>
              <w:bidi w:val="0"/>
              <w:spacing w:before="0" w:after="283"/>
              <w:jc w:val="right"/>
              <w:rPr/>
            </w:pPr>
            <w:r>
              <w:rPr/>
              <w:t>6,000</w:t>
            </w:r>
          </w:p>
        </w:tc>
        <w:tc>
          <w:tcPr>
            <w:tcW w:w="63" w:type="dxa"/>
            <w:tcBorders/>
            <w:shd w:fill="CCEEFF" w:val="clear"/>
            <w:vAlign w:val="bottom"/>
          </w:tcPr>
          <w:p>
            <w:pPr>
              <w:pStyle w:val="TableContents"/>
              <w:bidi w:val="0"/>
              <w:spacing w:before="0" w:after="283"/>
              <w:jc w:val="left"/>
              <w:rPr/>
            </w:pPr>
            <w:r>
              <w:rPr/>
              <w:t> </w:t>
            </w:r>
          </w:p>
        </w:tc>
      </w:tr>
      <w:tr>
        <w:trPr/>
        <w:tc>
          <w:tcPr>
            <w:tcW w:w="8257"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1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right"/>
              <w:rPr/>
            </w:pPr>
            <w:r>
              <w:rPr/>
              <w:t>6,000</w:t>
            </w:r>
          </w:p>
        </w:tc>
        <w:tc>
          <w:tcPr>
            <w:tcW w:w="63" w:type="dxa"/>
            <w:tcBorders/>
            <w:vAlign w:val="bottom"/>
          </w:tcPr>
          <w:p>
            <w:pPr>
              <w:pStyle w:val="TableContents"/>
              <w:bidi w:val="0"/>
              <w:spacing w:before="0" w:after="283"/>
              <w:jc w:val="left"/>
              <w:rPr/>
            </w:pPr>
            <w:r>
              <w:rPr/>
              <w:t> </w:t>
            </w:r>
          </w:p>
        </w:tc>
      </w:tr>
      <w:tr>
        <w:trPr/>
        <w:tc>
          <w:tcPr>
            <w:tcW w:w="8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1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right"/>
              <w:rPr/>
            </w:pPr>
            <w:r>
              <w:rPr/>
              <w:t>2,000</w:t>
            </w:r>
          </w:p>
        </w:tc>
        <w:tc>
          <w:tcPr>
            <w:tcW w:w="63" w:type="dxa"/>
            <w:tcBorders/>
            <w:shd w:fill="CCEEFF" w:val="clear"/>
            <w:vAlign w:val="bottom"/>
          </w:tcPr>
          <w:p>
            <w:pPr>
              <w:pStyle w:val="TableContents"/>
              <w:bidi w:val="0"/>
              <w:spacing w:before="0" w:after="283"/>
              <w:jc w:val="left"/>
              <w:rPr/>
            </w:pPr>
            <w:r>
              <w:rPr/>
              <w:t> </w:t>
            </w:r>
          </w:p>
        </w:tc>
      </w:tr>
      <w:tr>
        <w:trPr/>
        <w:tc>
          <w:tcPr>
            <w:tcW w:w="8257"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41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257"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 of Term Loan</w:t>
            </w:r>
          </w:p>
        </w:tc>
        <w:tc>
          <w:tcPr>
            <w:tcW w:w="31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418" w:type="dxa"/>
            <w:tcBorders/>
            <w:vAlign w:val="bottom"/>
          </w:tcPr>
          <w:p>
            <w:pPr>
              <w:pStyle w:val="TableContents"/>
              <w:bidi w:val="0"/>
              <w:spacing w:before="0" w:after="283"/>
              <w:jc w:val="right"/>
              <w:rPr/>
            </w:pPr>
            <w:r>
              <w:rPr/>
              <w:t>   </w:t>
            </w:r>
            <w:r>
              <w:rPr/>
              <w:t>14,000</w:t>
            </w:r>
          </w:p>
        </w:tc>
        <w:tc>
          <w:tcPr>
            <w:tcW w:w="63" w:type="dxa"/>
            <w:tcBorders/>
            <w:vAlign w:val="bottom"/>
          </w:tcPr>
          <w:p>
            <w:pPr>
              <w:pStyle w:val="TableContents"/>
              <w:bidi w:val="0"/>
              <w:spacing w:before="0" w:after="283"/>
              <w:jc w:val="left"/>
              <w:rPr/>
            </w:pPr>
            <w:r>
              <w:rPr/>
              <w:t> </w:t>
            </w:r>
          </w:p>
        </w:tc>
      </w:tr>
      <w:tr>
        <w:trPr/>
        <w:tc>
          <w:tcPr>
            <w:tcW w:w="8257"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41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Capital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Redeemable convertible preferred stock consisted of the following at December 31, 2023 and 2022 (in thousands, except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45"/>
        <w:gridCol w:w="128"/>
        <w:gridCol w:w="60"/>
        <w:gridCol w:w="1814"/>
        <w:gridCol w:w="60"/>
        <w:gridCol w:w="128"/>
        <w:gridCol w:w="60"/>
        <w:gridCol w:w="1814"/>
        <w:gridCol w:w="60"/>
        <w:gridCol w:w="128"/>
        <w:gridCol w:w="140"/>
        <w:gridCol w:w="1464"/>
        <w:gridCol w:w="60"/>
        <w:gridCol w:w="127"/>
        <w:gridCol w:w="140"/>
        <w:gridCol w:w="1408"/>
        <w:gridCol w:w="69"/>
      </w:tblGrid>
      <w:tr>
        <w:trPr/>
        <w:tc>
          <w:tcPr>
            <w:tcW w:w="254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54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and</w:t>
              <w:br/>
              <w:t>Outstanding</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Authorized</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Liquidation</w:t>
              <w:br/>
              <w:t>Preference</w:t>
            </w:r>
          </w:p>
        </w:tc>
        <w:tc>
          <w:tcPr>
            <w:tcW w:w="69" w:type="dxa"/>
            <w:tcBorders/>
            <w:vAlign w:val="bottom"/>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4,753,466</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4,753,466</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64" w:type="dxa"/>
            <w:tcBorders/>
            <w:shd w:fill="CCEEFF" w:val="clear"/>
            <w:vAlign w:val="bottom"/>
          </w:tcPr>
          <w:p>
            <w:pPr>
              <w:pStyle w:val="TableContents"/>
              <w:bidi w:val="0"/>
              <w:spacing w:before="0" w:after="283"/>
              <w:jc w:val="right"/>
              <w:rPr/>
            </w:pPr>
            <w:r>
              <w:rPr/>
              <w:t>   </w:t>
            </w:r>
            <w:r>
              <w:rPr/>
              <w:t>11,558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8" w:type="dxa"/>
            <w:tcBorders/>
            <w:shd w:fill="CCEEFF" w:val="clear"/>
            <w:vAlign w:val="bottom"/>
          </w:tcPr>
          <w:p>
            <w:pPr>
              <w:pStyle w:val="TableContents"/>
              <w:bidi w:val="0"/>
              <w:spacing w:before="0" w:after="283"/>
              <w:jc w:val="right"/>
              <w:rPr/>
            </w:pPr>
            <w:r>
              <w:rPr/>
              <w:t>   </w:t>
            </w:r>
            <w:r>
              <w:rPr/>
              <w:t>11,822</w:t>
            </w:r>
          </w:p>
        </w:tc>
        <w:tc>
          <w:tcPr>
            <w:tcW w:w="69" w:type="dxa"/>
            <w:tcBorders/>
            <w:shd w:fill="CCEEFF" w:val="clear"/>
            <w:vAlign w:val="bottom"/>
          </w:tcPr>
          <w:p>
            <w:pPr>
              <w:pStyle w:val="TableContents"/>
              <w:bidi w:val="0"/>
              <w:spacing w:before="0" w:after="283"/>
              <w:jc w:val="left"/>
              <w:rPr/>
            </w:pPr>
            <w:r>
              <w:rPr/>
              <w:t> </w:t>
            </w:r>
          </w:p>
        </w:tc>
      </w:tr>
      <w:tr>
        <w:trPr/>
        <w:tc>
          <w:tcPr>
            <w:tcW w:w="2545"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2,948,071</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2,948,071</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3,085</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1,808</w:t>
            </w:r>
          </w:p>
        </w:tc>
        <w:tc>
          <w:tcPr>
            <w:tcW w:w="69" w:type="dxa"/>
            <w:tcBorders/>
            <w:vAlign w:val="bottom"/>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A-3</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203,821</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203,821</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250</w:t>
            </w:r>
          </w:p>
        </w:tc>
        <w:tc>
          <w:tcPr>
            <w:tcW w:w="69" w:type="dxa"/>
            <w:tcBorders/>
            <w:shd w:fill="CCEEFF" w:val="clear"/>
            <w:vAlign w:val="bottom"/>
          </w:tcPr>
          <w:p>
            <w:pPr>
              <w:pStyle w:val="TableContents"/>
              <w:bidi w:val="0"/>
              <w:spacing w:before="0" w:after="283"/>
              <w:jc w:val="left"/>
              <w:rPr/>
            </w:pPr>
            <w:r>
              <w:rPr/>
              <w:t> </w:t>
            </w:r>
          </w:p>
        </w:tc>
      </w:tr>
      <w:tr>
        <w:trPr/>
        <w:tc>
          <w:tcPr>
            <w:tcW w:w="2545" w:type="dxa"/>
            <w:tcBorders/>
          </w:tcPr>
          <w:p>
            <w:pPr>
              <w:pStyle w:val="TableContents"/>
              <w:bidi w:val="0"/>
              <w:spacing w:before="0" w:after="0"/>
              <w:jc w:val="left"/>
              <w:rPr>
                <w:rFonts w:ascii="Times New Roman" w:hAnsi="Times New Roman"/>
                <w:sz w:val="20"/>
              </w:rPr>
            </w:pPr>
            <w:r>
              <w:rPr>
                <w:rFonts w:ascii="Times New Roman" w:hAnsi="Times New Roman"/>
                <w:sz w:val="20"/>
              </w:rPr>
              <w:t>Series A-4</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27,643</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27,643</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55</w:t>
            </w:r>
          </w:p>
        </w:tc>
        <w:tc>
          <w:tcPr>
            <w:tcW w:w="69" w:type="dxa"/>
            <w:tcBorders/>
            <w:vAlign w:val="bottom"/>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7,455,241</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7,455,241</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22,854</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8" w:type="dxa"/>
            <w:tcBorders/>
            <w:shd w:fill="CCEEFF" w:val="clear"/>
            <w:vAlign w:val="bottom"/>
          </w:tcPr>
          <w:p>
            <w:pPr>
              <w:pStyle w:val="TableContents"/>
              <w:bidi w:val="0"/>
              <w:spacing w:before="0" w:after="283"/>
              <w:jc w:val="right"/>
              <w:rPr/>
            </w:pPr>
            <w:r>
              <w:rPr/>
              <w:t>22,929</w:t>
            </w:r>
          </w:p>
        </w:tc>
        <w:tc>
          <w:tcPr>
            <w:tcW w:w="69" w:type="dxa"/>
            <w:tcBorders/>
            <w:shd w:fill="CCEEFF" w:val="clear"/>
            <w:vAlign w:val="bottom"/>
          </w:tcPr>
          <w:p>
            <w:pPr>
              <w:pStyle w:val="TableContents"/>
              <w:bidi w:val="0"/>
              <w:spacing w:before="0" w:after="283"/>
              <w:jc w:val="left"/>
              <w:rPr/>
            </w:pPr>
            <w:r>
              <w:rPr/>
              <w:t> </w:t>
            </w:r>
          </w:p>
        </w:tc>
      </w:tr>
      <w:tr>
        <w:trPr/>
        <w:tc>
          <w:tcPr>
            <w:tcW w:w="2545" w:type="dxa"/>
            <w:tcBorders/>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   </w:t>
            </w:r>
            <w:r>
              <w:rPr/>
              <w:t>16,076,886</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4" w:type="dxa"/>
            <w:tcBorders/>
            <w:vAlign w:val="bottom"/>
          </w:tcPr>
          <w:p>
            <w:pPr>
              <w:pStyle w:val="TableContents"/>
              <w:bidi w:val="0"/>
              <w:spacing w:before="0" w:after="283"/>
              <w:jc w:val="right"/>
              <w:rPr/>
            </w:pPr>
            <w:r>
              <w:rPr/>
              <w:t>   </w:t>
            </w:r>
            <w:r>
              <w:rPr/>
              <w:t>16,246,120</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94,904</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8" w:type="dxa"/>
            <w:tcBorders/>
            <w:vAlign w:val="bottom"/>
          </w:tcPr>
          <w:p>
            <w:pPr>
              <w:pStyle w:val="TableContents"/>
              <w:bidi w:val="0"/>
              <w:spacing w:before="0" w:after="283"/>
              <w:jc w:val="right"/>
              <w:rPr/>
            </w:pPr>
            <w:r>
              <w:rPr/>
              <w:t>95,000</w:t>
            </w:r>
          </w:p>
        </w:tc>
        <w:tc>
          <w:tcPr>
            <w:tcW w:w="69"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   </w:t>
            </w:r>
            <w:r>
              <w:rPr/>
              <w:t>31,465,128</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4" w:type="dxa"/>
            <w:tcBorders/>
            <w:shd w:fill="CCEEFF" w:val="clear"/>
            <w:vAlign w:val="bottom"/>
          </w:tcPr>
          <w:p>
            <w:pPr>
              <w:pStyle w:val="TableContents"/>
              <w:bidi w:val="0"/>
              <w:spacing w:before="0" w:after="283"/>
              <w:jc w:val="right"/>
              <w:rPr/>
            </w:pPr>
            <w:r>
              <w:rPr/>
              <w:t>   </w:t>
            </w:r>
            <w:r>
              <w:rPr/>
              <w:t>31,634,362</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64" w:type="dxa"/>
            <w:tcBorders/>
            <w:shd w:fill="CCEEFF" w:val="clear"/>
            <w:vAlign w:val="bottom"/>
          </w:tcPr>
          <w:p>
            <w:pPr>
              <w:pStyle w:val="TableContents"/>
              <w:bidi w:val="0"/>
              <w:spacing w:before="0" w:after="283"/>
              <w:jc w:val="right"/>
              <w:rPr/>
            </w:pPr>
            <w:r>
              <w:rPr/>
              <w:t>   </w:t>
            </w:r>
            <w:r>
              <w:rPr/>
              <w:t>132,722</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8" w:type="dxa"/>
            <w:tcBorders/>
            <w:shd w:fill="CCEEFF" w:val="clear"/>
            <w:vAlign w:val="bottom"/>
          </w:tcPr>
          <w:p>
            <w:pPr>
              <w:pStyle w:val="TableContents"/>
              <w:bidi w:val="0"/>
              <w:spacing w:before="0" w:after="283"/>
              <w:jc w:val="right"/>
              <w:rPr/>
            </w:pPr>
            <w:r>
              <w:rPr/>
              <w:t>   </w:t>
            </w:r>
            <w:r>
              <w:rPr/>
              <w:t>131,864</w:t>
            </w:r>
          </w:p>
        </w:tc>
        <w:tc>
          <w:tcPr>
            <w:tcW w:w="69"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8"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2017, the Company issued 4,753,466 shares of Series A-1 redeemable convertible preferred stock (the Series A-1 Preferred Stock), 2,948,071 shares of Series A-2 redeemable convertible preferred stock (the Series A-2 Preferred Stock), 203,821 shares of Series A-3 redeemable convertible preferred stock (the Series A-3 Preferred Stock), and 27,643 shares of Series A-4 redeemable convertible preferred stock (the Series A-4 Preferred Stock and together with the Series A-1 Preferred Stock, Series A-2 Preferred Stock and Series A-3 Preferred Stock, the Series A Preferred Stock), and in connection with the settlement of the Simple Agreement for Future Equity (SAFE) instruments that were outstanding. SAFEs were originally provided to early investors in exchange for cash. The investors who held these SAFEs converted their respective SAFEs to Series A Preferred Stock. The Series A Preferred Stock have the same rights and preferences except for their initial original issuance prices in connection with any future liquidation events as defined in the Companys articles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2018, the Company sold 7,455,241 shares of its Series B redeemable convertible preferred stock at $3.0756 per share (the Series B Preferred Stock) for gross proceeds of $22.9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2020, the Company sold 15,230,734 shares of Series C redeemable convertible preferred stock (the Series C Preferred Stock) at $5.9091 per share for gross proceeds of $90.0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the Company issued 846,152 shares of Series C in connection with the Amgen Agreement (Note 9).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a summary of the amended rights, preferences, and privileges of the Series A-1 through A-4, Series B and Series C redeemable convertible preferred stock: </w:t>
      </w:r>
    </w:p>
    <w:p>
      <w:pPr>
        <w:pStyle w:val="TextBody"/>
        <w:bidi w:val="0"/>
        <w:spacing w:before="240" w:after="0"/>
        <w:jc w:val="both"/>
        <w:rPr>
          <w:rFonts w:ascii="Times New Roman" w:hAnsi="Times New Roman"/>
          <w:sz w:val="20"/>
        </w:rPr>
      </w:pPr>
      <w:r>
        <w:rPr>
          <w:rFonts w:ascii="Times New Roman" w:hAnsi="Times New Roman"/>
          <w:i/>
          <w:sz w:val="20"/>
        </w:rPr>
        <w:t>Rank</w:t>
      </w:r>
      <w:r>
        <w:rPr>
          <w:rFonts w:ascii="Times New Roman" w:hAnsi="Times New Roman"/>
          <w:sz w:val="20"/>
        </w:rPr>
        <w:t xml:space="preserve">The redeemable convertible preferred stock ranks senior to the common stock as to payment of dividends, distributions of assets upon a liquidation event, or otherwise. </w:t>
      </w:r>
    </w:p>
    <w:p>
      <w:pPr>
        <w:pStyle w:val="TextBody"/>
        <w:bidi w:val="0"/>
        <w:spacing w:before="240" w:after="0"/>
        <w:jc w:val="both"/>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the redeemable convertible preferred stock are entitled to receive non-cumulative dividends at the rate of 6.00% per year if and when declared by the Companys board of directors (the Board of Directors). Any declared but unpaid dividends are payable upon a liquidation event or conversion of the applicable shares of convertible preferred stock to common stock. No dividends have been declared through December 31, 2023. </w:t>
      </w:r>
    </w:p>
    <w:p>
      <w:pPr>
        <w:pStyle w:val="TextBody"/>
        <w:bidi w:val="0"/>
        <w:spacing w:before="240" w:after="0"/>
        <w:jc w:val="both"/>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holders of the redeemable convertible preferred stock are entitled to a number of votes equal to the number of shares of common stock into which their shares can be converted. The holders of the redeemable convertible preferred stock are entitled to elect one member of the Board of Directors. </w:t>
      </w:r>
    </w:p>
    <w:p>
      <w:pPr>
        <w:pStyle w:val="TextBody"/>
        <w:bidi w:val="0"/>
        <w:spacing w:before="240" w:after="0"/>
        <w:jc w:val="both"/>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 liquidation, dissolution, or winding up of the Company, or in the event the Company merges with or is acquired by another entity, the holders of the redeemable convertible preferred stock are entitled to their liquidation preference payments plus any accrued but unpaid dividends. Once the liquidation preference has been paid, any remaining assets would be distributed pro rata among the holders of the Series C Preferred Stock, Series B Preferred Stock, Series A Preferred Stock and common stock on an as converted basis. Liquidation preference payments equal an amount per share equal to the greater of (i) the Original Issue Price for such series, plus any dividends declared but unpaid thereon, or (ii) such amount per share as would have been payable on an as-converted basis, where Original Issue Price means $2.4870 per share for Series A-1 Preferred Stock, $0.6133 per share for Series A-2 Preferred Stock, $1.2266 per share for Series A-3 Preferred Stock, $1.9896 per share for Series A-4, $3.0756 per share for Series B Preferred Stock, and $5.9091 per share for Series C Preferred Stock. </w:t>
      </w:r>
    </w:p>
    <w:p>
      <w:pPr>
        <w:pStyle w:val="TextBody"/>
        <w:bidi w:val="0"/>
        <w:spacing w:before="240" w:after="0"/>
        <w:jc w:val="both"/>
        <w:rPr>
          <w:rFonts w:ascii="Times New Roman" w:hAnsi="Times New Roman"/>
          <w:sz w:val="20"/>
        </w:rPr>
      </w:pPr>
      <w:r>
        <w:rPr>
          <w:rFonts w:ascii="Times New Roman" w:hAnsi="Times New Roman"/>
          <w:i/>
          <w:sz w:val="20"/>
        </w:rPr>
        <w:t>Conversion</w:t>
      </w:r>
      <w:r>
        <w:rPr>
          <w:rFonts w:ascii="Times New Roman" w:hAnsi="Times New Roman"/>
          <w:sz w:val="20"/>
        </w:rPr>
        <w:t xml:space="preserve">At any time, at the option of the holder, each share of redeemable convertible preferred stock is convertible into 0.224084614 shares of common stock, subject to certain antidilution adjustments. The conversion of the redeemable convertible preferred stock is not considered probable at this time, therefore, subsequent measurement adjustments have not been made. The redeemable convertible preferred stock is automatically converted in the event of an initial public offering (IPO) of specified characteristics, or upon the agreement of holders of a majority of the outstanding redeemable convertible preferred stock. </w:t>
      </w:r>
    </w:p>
    <w:p>
      <w:pPr>
        <w:pStyle w:val="TextBody"/>
        <w:bidi w:val="0"/>
        <w:spacing w:before="240" w:after="0"/>
        <w:jc w:val="both"/>
        <w:rPr>
          <w:rFonts w:ascii="Times New Roman" w:hAnsi="Times New Roman"/>
          <w:sz w:val="20"/>
        </w:rPr>
      </w:pPr>
      <w:r>
        <w:rPr>
          <w:rFonts w:ascii="Times New Roman" w:hAnsi="Times New Roman"/>
          <w:i/>
          <w:sz w:val="20"/>
        </w:rPr>
        <w:t>Down-Round Antidilution Protection</w:t>
      </w:r>
      <w:r>
        <w:rPr>
          <w:rFonts w:ascii="Times New Roman" w:hAnsi="Times New Roman"/>
          <w:sz w:val="20"/>
        </w:rPr>
        <w:t xml:space="preserve">In the event the Company issues its common stock without consideration or for consideration per share that is less than the conversion price in effect for each series of the redeemable convertible preferred stock, then the conversion price for that series shall be reduced in order to increase the number of ordinary shares into which such series of redeemable convertible preferred stock is convertible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Series C stock financing in 2020, the number of Board of Directors seats was increased from four board seats to five board seats. The holders of the common stock are entitled to elect two members of the Board of Directors. The common stockholders are entitled to one vote for each share of common stock held. There are 52,400,000 shares of common stock authorized as of December 31, 2023 and 2022. Common stock reserved for future issuance, on an as-if-converted basis, as of December 31, 2023 and December 31, 2022,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7"/>
        <w:gridCol w:w="310"/>
        <w:gridCol w:w="60"/>
        <w:gridCol w:w="1118"/>
        <w:gridCol w:w="60"/>
        <w:gridCol w:w="310"/>
        <w:gridCol w:w="60"/>
        <w:gridCol w:w="1296"/>
        <w:gridCol w:w="64"/>
      </w:tblGrid>
      <w:tr>
        <w:trPr/>
        <w:tc>
          <w:tcPr>
            <w:tcW w:w="6927"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2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9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4"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issued and outstanding</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1,673,314</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1,672,663</w:t>
            </w:r>
          </w:p>
        </w:tc>
        <w:tc>
          <w:tcPr>
            <w:tcW w:w="64"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shares, issued and outstanding</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7,050,825</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7,050,825</w:t>
            </w:r>
          </w:p>
        </w:tc>
        <w:tc>
          <w:tcPr>
            <w:tcW w:w="64"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issued and outstanding</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2,364,083</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1,944,796</w:t>
            </w:r>
          </w:p>
        </w:tc>
        <w:tc>
          <w:tcPr>
            <w:tcW w:w="64"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authorized for future issuance</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614,041</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397,576</w:t>
            </w:r>
          </w:p>
        </w:tc>
        <w:tc>
          <w:tcPr>
            <w:tcW w:w="64"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 issued and outstanding</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31,690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26,142</w:t>
            </w:r>
          </w:p>
        </w:tc>
        <w:tc>
          <w:tcPr>
            <w:tcW w:w="64"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11,733,953</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11,092,002</w:t>
            </w:r>
          </w:p>
        </w:tc>
        <w:tc>
          <w:tcPr>
            <w:tcW w:w="64"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Warrants to Acquire Shares of Common Stock </w:t>
      </w:r>
    </w:p>
    <w:p>
      <w:pPr>
        <w:pStyle w:val="TextBody"/>
        <w:bidi w:val="0"/>
        <w:spacing w:before="120" w:after="0"/>
        <w:jc w:val="both"/>
        <w:rPr>
          <w:rFonts w:ascii="Times New Roman" w:hAnsi="Times New Roman"/>
          <w:sz w:val="20"/>
        </w:rPr>
      </w:pPr>
      <w:r>
        <w:rPr>
          <w:rFonts w:ascii="Times New Roman" w:hAnsi="Times New Roman"/>
          <w:sz w:val="20"/>
        </w:rPr>
        <w:t xml:space="preserve">At December 31, 2023 there are warrants outstanding to acquire 31,690 shares of the Companys common stock. </w:t>
      </w:r>
    </w:p>
    <w:p>
      <w:pPr>
        <w:pStyle w:val="TextBody"/>
        <w:bidi w:val="0"/>
        <w:spacing w:before="240" w:after="0"/>
        <w:jc w:val="both"/>
        <w:rPr>
          <w:rFonts w:ascii="Times New Roman" w:hAnsi="Times New Roman"/>
          <w:sz w:val="20"/>
        </w:rPr>
      </w:pPr>
      <w:r>
        <w:rPr>
          <w:rFonts w:ascii="Times New Roman" w:hAnsi="Times New Roman"/>
          <w:sz w:val="20"/>
        </w:rPr>
        <w:t xml:space="preserve">In July 2018, in connection with a 2018 loan agreement, the Company issued warrants to acquire 6,722 shares of common stock with an exercise price of $3.22 (the 2018 Warrants). These warrants expire on July 31, 2028 and had a fair value of $15,930 at issuance. </w:t>
      </w:r>
    </w:p>
    <w:p>
      <w:pPr>
        <w:pStyle w:val="TextBody"/>
        <w:bidi w:val="0"/>
        <w:spacing w:before="240" w:after="0"/>
        <w:jc w:val="both"/>
        <w:rPr>
          <w:rFonts w:ascii="Times New Roman" w:hAnsi="Times New Roman"/>
          <w:sz w:val="20"/>
        </w:rPr>
      </w:pPr>
      <w:r>
        <w:rPr>
          <w:rFonts w:ascii="Times New Roman" w:hAnsi="Times New Roman"/>
          <w:sz w:val="20"/>
        </w:rPr>
        <w:t xml:space="preserve">In May 2022, additional warrants to acquire 19,420 shares of common stock were issued with an exercise price of $10.27 in connection with the SVB Loan Agreement (the 2022 Warrants). </w:t>
      </w:r>
    </w:p>
    <w:p>
      <w:pPr>
        <w:pStyle w:val="TextBody"/>
        <w:bidi w:val="0"/>
        <w:spacing w:before="240" w:after="0"/>
        <w:jc w:val="both"/>
        <w:rPr>
          <w:rFonts w:ascii="Times New Roman" w:hAnsi="Times New Roman"/>
          <w:sz w:val="20"/>
        </w:rPr>
      </w:pPr>
      <w:r>
        <w:rPr>
          <w:rFonts w:ascii="Times New Roman" w:hAnsi="Times New Roman"/>
          <w:sz w:val="20"/>
        </w:rPr>
        <w:t xml:space="preserve">In May 2023, additional warrants to acquire 5,548 shares of common stock were issued with an exercise price of $10.27 in connection with the SVB Loan Agreement (the 2023 Warrants). </w:t>
      </w:r>
    </w:p>
    <w:p>
      <w:pPr>
        <w:pStyle w:val="TextBody"/>
        <w:bidi w:val="0"/>
        <w:spacing w:before="240" w:after="0"/>
        <w:jc w:val="both"/>
        <w:rPr>
          <w:rFonts w:ascii="Times New Roman" w:hAnsi="Times New Roman"/>
          <w:sz w:val="20"/>
        </w:rPr>
      </w:pPr>
      <w:r>
        <w:rPr>
          <w:rFonts w:ascii="Times New Roman" w:hAnsi="Times New Roman"/>
          <w:sz w:val="20"/>
        </w:rPr>
        <w:t xml:space="preserve">The 2023 Warrants, 2022 Warrants, and 2018 Warrants are not indexed to the Companys own stock, as the settlement amount may be adjusted in the event of a non-cash / public acquisition in which the surviving entity does not assume the warrants. Therefore, these warrants are classified as a liability at fair value with changes in fair value recorded in the consolidated statement of operations and comprehensive loss. </w:t>
      </w:r>
    </w:p>
    <w:p>
      <w:pPr>
        <w:pStyle w:val="TextBody"/>
        <w:bidi w:val="0"/>
        <w:spacing w:before="240" w:after="0"/>
        <w:jc w:val="both"/>
        <w:rPr>
          <w:rFonts w:ascii="Times New Roman" w:hAnsi="Times New Roman"/>
          <w:sz w:val="20"/>
        </w:rPr>
      </w:pPr>
      <w:r>
        <w:rPr>
          <w:rFonts w:ascii="Times New Roman" w:hAnsi="Times New Roman"/>
          <w:sz w:val="20"/>
        </w:rPr>
        <w:t xml:space="preserve">The fair value of the liability related to the 2018 Warrants as of December 31, 2023 and 2022 was estimated using a Black-Scholes pricing model with the following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7"/>
        <w:gridCol w:w="736"/>
        <w:gridCol w:w="195"/>
        <w:gridCol w:w="1223"/>
        <w:gridCol w:w="275"/>
        <w:gridCol w:w="682"/>
        <w:gridCol w:w="195"/>
        <w:gridCol w:w="1223"/>
        <w:gridCol w:w="279"/>
      </w:tblGrid>
      <w:tr>
        <w:trPr/>
        <w:tc>
          <w:tcPr>
            <w:tcW w:w="5397" w:type="dxa"/>
            <w:tcBorders/>
            <w:vAlign w:val="center"/>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397"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275"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279"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7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3.84</w:t>
            </w:r>
          </w:p>
        </w:tc>
        <w:tc>
          <w:tcPr>
            <w:tcW w:w="275"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2.78</w:t>
            </w:r>
          </w:p>
        </w:tc>
        <w:tc>
          <w:tcPr>
            <w:tcW w:w="279"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7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4.6 years</w:t>
            </w:r>
          </w:p>
        </w:tc>
        <w:tc>
          <w:tcPr>
            <w:tcW w:w="275"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5.6 years</w:t>
            </w:r>
          </w:p>
        </w:tc>
        <w:tc>
          <w:tcPr>
            <w:tcW w:w="279"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7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106.28</w:t>
            </w:r>
          </w:p>
        </w:tc>
        <w:tc>
          <w:tcPr>
            <w:tcW w:w="275"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77.87</w:t>
            </w:r>
          </w:p>
        </w:tc>
        <w:tc>
          <w:tcPr>
            <w:tcW w:w="279"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7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the Companys common stock (per share)</w:t>
            </w:r>
          </w:p>
        </w:tc>
        <w:tc>
          <w:tcPr>
            <w:tcW w:w="7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8.26</w:t>
            </w:r>
          </w:p>
        </w:tc>
        <w:tc>
          <w:tcPr>
            <w:tcW w:w="275"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7.63</w:t>
            </w:r>
          </w:p>
        </w:tc>
        <w:tc>
          <w:tcPr>
            <w:tcW w:w="279"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 (per share)</w:t>
            </w:r>
          </w:p>
        </w:tc>
        <w:tc>
          <w:tcPr>
            <w:tcW w:w="7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3.22</w:t>
            </w:r>
          </w:p>
        </w:tc>
        <w:tc>
          <w:tcPr>
            <w:tcW w:w="275"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3.22</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fair value of the liability related to the 2022 Warrants as of December 31, 2023 and 2022 was estimated using a Black-Scholes pricing model with the following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86"/>
        <w:gridCol w:w="629"/>
        <w:gridCol w:w="195"/>
        <w:gridCol w:w="1234"/>
        <w:gridCol w:w="275"/>
        <w:gridCol w:w="578"/>
        <w:gridCol w:w="195"/>
        <w:gridCol w:w="1234"/>
        <w:gridCol w:w="279"/>
      </w:tblGrid>
      <w:tr>
        <w:trPr/>
        <w:tc>
          <w:tcPr>
            <w:tcW w:w="5586" w:type="dxa"/>
            <w:tcBorders/>
            <w:vAlign w:val="center"/>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58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275"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279" w:type="dxa"/>
            <w:tcBorders/>
            <w:vAlign w:val="bottom"/>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2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3.88</w:t>
            </w:r>
          </w:p>
        </w:tc>
        <w:tc>
          <w:tcPr>
            <w:tcW w:w="275"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2.78</w:t>
            </w:r>
          </w:p>
        </w:tc>
        <w:tc>
          <w:tcPr>
            <w:tcW w:w="279" w:type="dxa"/>
            <w:tcBorders/>
            <w:shd w:fill="CCEEFF" w:val="clear"/>
            <w:vAlign w:val="bottom"/>
          </w:tcPr>
          <w:p>
            <w:pPr>
              <w:pStyle w:val="TableContents"/>
              <w:bidi w:val="0"/>
              <w:spacing w:before="0" w:after="283"/>
              <w:jc w:val="left"/>
              <w:rPr/>
            </w:pPr>
            <w:r>
              <w:rPr/>
              <w:t>% </w:t>
            </w:r>
          </w:p>
        </w:tc>
      </w:tr>
      <w:tr>
        <w:trPr/>
        <w:tc>
          <w:tcPr>
            <w:tcW w:w="5586"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62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8.4 years</w:t>
            </w:r>
          </w:p>
        </w:tc>
        <w:tc>
          <w:tcPr>
            <w:tcW w:w="275"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9.4 years</w:t>
            </w:r>
          </w:p>
        </w:tc>
        <w:tc>
          <w:tcPr>
            <w:tcW w:w="279" w:type="dxa"/>
            <w:tcBorders/>
            <w:vAlign w:val="bottom"/>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2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104.51</w:t>
            </w:r>
          </w:p>
        </w:tc>
        <w:tc>
          <w:tcPr>
            <w:tcW w:w="275"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76.74</w:t>
            </w:r>
          </w:p>
        </w:tc>
        <w:tc>
          <w:tcPr>
            <w:tcW w:w="279" w:type="dxa"/>
            <w:tcBorders/>
            <w:shd w:fill="CCEEFF" w:val="clear"/>
            <w:vAlign w:val="bottom"/>
          </w:tcPr>
          <w:p>
            <w:pPr>
              <w:pStyle w:val="TableContents"/>
              <w:bidi w:val="0"/>
              <w:spacing w:before="0" w:after="283"/>
              <w:jc w:val="left"/>
              <w:rPr/>
            </w:pPr>
            <w:r>
              <w:rPr/>
              <w:t>% </w:t>
            </w:r>
          </w:p>
        </w:tc>
      </w:tr>
      <w:tr>
        <w:trPr/>
        <w:tc>
          <w:tcPr>
            <w:tcW w:w="5586"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2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the Companys common stock (per share)</w:t>
            </w:r>
          </w:p>
        </w:tc>
        <w:tc>
          <w:tcPr>
            <w:tcW w:w="62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8.26</w:t>
            </w:r>
          </w:p>
        </w:tc>
        <w:tc>
          <w:tcPr>
            <w:tcW w:w="275"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7.63</w:t>
            </w:r>
          </w:p>
        </w:tc>
        <w:tc>
          <w:tcPr>
            <w:tcW w:w="279" w:type="dxa"/>
            <w:tcBorders/>
            <w:shd w:fill="CCEEFF" w:val="clear"/>
            <w:vAlign w:val="bottom"/>
          </w:tcPr>
          <w:p>
            <w:pPr>
              <w:pStyle w:val="TableContents"/>
              <w:bidi w:val="0"/>
              <w:spacing w:before="0" w:after="283"/>
              <w:jc w:val="left"/>
              <w:rPr/>
            </w:pPr>
            <w:r>
              <w:rPr/>
              <w:t> </w:t>
            </w:r>
          </w:p>
        </w:tc>
      </w:tr>
      <w:tr>
        <w:trPr/>
        <w:tc>
          <w:tcPr>
            <w:tcW w:w="5586"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 (per share)</w:t>
            </w:r>
          </w:p>
        </w:tc>
        <w:tc>
          <w:tcPr>
            <w:tcW w:w="62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10.27</w:t>
            </w:r>
          </w:p>
        </w:tc>
        <w:tc>
          <w:tcPr>
            <w:tcW w:w="275"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10.27</w:t>
            </w:r>
          </w:p>
        </w:tc>
        <w:tc>
          <w:tcPr>
            <w:tcW w:w="279"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fair value of the liability related to the 2023 Warrants as of December 31, 2023 and May 18, 2023 was estimated using a Black-Scholes pricing model with the following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66"/>
        <w:gridCol w:w="659"/>
        <w:gridCol w:w="195"/>
        <w:gridCol w:w="1237"/>
        <w:gridCol w:w="275"/>
        <w:gridCol w:w="609"/>
        <w:gridCol w:w="140"/>
        <w:gridCol w:w="946"/>
        <w:gridCol w:w="278"/>
      </w:tblGrid>
      <w:tr>
        <w:trPr/>
        <w:tc>
          <w:tcPr>
            <w:tcW w:w="5866" w:type="dxa"/>
            <w:tcBorders/>
            <w:vAlign w:val="center"/>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275"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May 18, 2023</w:t>
            </w:r>
          </w:p>
        </w:tc>
        <w:tc>
          <w:tcPr>
            <w:tcW w:w="278" w:type="dxa"/>
            <w:tcBorders/>
            <w:vAlign w:val="bottom"/>
          </w:tcPr>
          <w:p>
            <w:pPr>
              <w:pStyle w:val="TableContents"/>
              <w:bidi w:val="0"/>
              <w:spacing w:before="0" w:after="283"/>
              <w:jc w:val="left"/>
              <w:rPr/>
            </w:pPr>
            <w:r>
              <w:rPr/>
              <w:t> </w:t>
            </w:r>
          </w:p>
        </w:tc>
      </w:tr>
      <w:tr>
        <w:trPr/>
        <w:tc>
          <w:tcPr>
            <w:tcW w:w="5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3.88</w:t>
            </w:r>
          </w:p>
        </w:tc>
        <w:tc>
          <w:tcPr>
            <w:tcW w:w="275"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3.65</w:t>
            </w:r>
          </w:p>
        </w:tc>
        <w:tc>
          <w:tcPr>
            <w:tcW w:w="278" w:type="dxa"/>
            <w:tcBorders/>
            <w:shd w:fill="CCEEFF" w:val="clear"/>
            <w:vAlign w:val="bottom"/>
          </w:tcPr>
          <w:p>
            <w:pPr>
              <w:pStyle w:val="TableContents"/>
              <w:bidi w:val="0"/>
              <w:spacing w:before="0" w:after="283"/>
              <w:jc w:val="left"/>
              <w:rPr/>
            </w:pPr>
            <w:r>
              <w:rPr/>
              <w:t>% </w:t>
            </w:r>
          </w:p>
        </w:tc>
      </w:tr>
      <w:tr>
        <w:trPr/>
        <w:tc>
          <w:tcPr>
            <w:tcW w:w="5866"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6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8.4 years</w:t>
            </w:r>
          </w:p>
        </w:tc>
        <w:tc>
          <w:tcPr>
            <w:tcW w:w="275"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9.0 years</w:t>
            </w:r>
          </w:p>
        </w:tc>
        <w:tc>
          <w:tcPr>
            <w:tcW w:w="278" w:type="dxa"/>
            <w:tcBorders/>
            <w:vAlign w:val="bottom"/>
          </w:tcPr>
          <w:p>
            <w:pPr>
              <w:pStyle w:val="TableContents"/>
              <w:bidi w:val="0"/>
              <w:spacing w:before="0" w:after="283"/>
              <w:jc w:val="left"/>
              <w:rPr/>
            </w:pPr>
            <w:r>
              <w:rPr/>
              <w:t> </w:t>
            </w:r>
          </w:p>
        </w:tc>
      </w:tr>
      <w:tr>
        <w:trPr/>
        <w:tc>
          <w:tcPr>
            <w:tcW w:w="5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104.51</w:t>
            </w:r>
          </w:p>
        </w:tc>
        <w:tc>
          <w:tcPr>
            <w:tcW w:w="275"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100.25</w:t>
            </w:r>
          </w:p>
        </w:tc>
        <w:tc>
          <w:tcPr>
            <w:tcW w:w="278" w:type="dxa"/>
            <w:tcBorders/>
            <w:shd w:fill="CCEEFF" w:val="clear"/>
            <w:vAlign w:val="bottom"/>
          </w:tcPr>
          <w:p>
            <w:pPr>
              <w:pStyle w:val="TableContents"/>
              <w:bidi w:val="0"/>
              <w:spacing w:before="0" w:after="283"/>
              <w:jc w:val="left"/>
              <w:rPr/>
            </w:pPr>
            <w:r>
              <w:rPr/>
              <w:t>% </w:t>
            </w:r>
          </w:p>
        </w:tc>
      </w:tr>
      <w:tr>
        <w:trPr/>
        <w:tc>
          <w:tcPr>
            <w:tcW w:w="5866"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the Companys common stock (per share)</w:t>
            </w:r>
          </w:p>
        </w:tc>
        <w:tc>
          <w:tcPr>
            <w:tcW w:w="6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8.26</w:t>
            </w:r>
          </w:p>
        </w:tc>
        <w:tc>
          <w:tcPr>
            <w:tcW w:w="275"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7.68</w:t>
            </w:r>
          </w:p>
        </w:tc>
        <w:tc>
          <w:tcPr>
            <w:tcW w:w="278" w:type="dxa"/>
            <w:tcBorders/>
            <w:shd w:fill="CCEEFF" w:val="clear"/>
            <w:vAlign w:val="bottom"/>
          </w:tcPr>
          <w:p>
            <w:pPr>
              <w:pStyle w:val="TableContents"/>
              <w:bidi w:val="0"/>
              <w:spacing w:before="0" w:after="283"/>
              <w:jc w:val="left"/>
              <w:rPr/>
            </w:pPr>
            <w:r>
              <w:rPr/>
              <w:t> </w:t>
            </w:r>
          </w:p>
        </w:tc>
      </w:tr>
      <w:tr>
        <w:trPr/>
        <w:tc>
          <w:tcPr>
            <w:tcW w:w="5866"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 (per share)</w:t>
            </w:r>
          </w:p>
        </w:tc>
        <w:tc>
          <w:tcPr>
            <w:tcW w:w="6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10.27</w:t>
            </w:r>
          </w:p>
        </w:tc>
        <w:tc>
          <w:tcPr>
            <w:tcW w:w="275"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6" w:type="dxa"/>
            <w:tcBorders/>
            <w:vAlign w:val="bottom"/>
          </w:tcPr>
          <w:p>
            <w:pPr>
              <w:pStyle w:val="TableContents"/>
              <w:bidi w:val="0"/>
              <w:spacing w:before="0" w:after="283"/>
              <w:jc w:val="right"/>
              <w:rPr/>
            </w:pPr>
            <w:r>
              <w:rPr/>
              <w:t>10.27</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Black-Scholes pricing model requires inputs based on the subjective assumptions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For volatility, the Company considers comparable public companies as a basis for its expected volatility to calculate the fair value of warrants to acquire common stock. The risk-free interest rate is based on U.S. Treasury notes with a term approximating the expected term of the warrants to acquire common stock. The Company uses an expected dividend yield of zero based on the fact that the Company has never paid cash dividends and does not expect to pay cash dividends in the foreseeable future. The expected term at each measurement date is equal to the remaining contractual life of the warrants. The fair value of the Companys common stock at each measurement date is determined by the Board, taking into account information, such as a valuation performed by an independent third party. Any significant changes in the inputs may result in significantly higher or lower fair value measurements.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changes in fair value of the warrant liability for the year ended December 31,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6"/>
        <w:gridCol w:w="362"/>
        <w:gridCol w:w="140"/>
        <w:gridCol w:w="394"/>
        <w:gridCol w:w="63"/>
      </w:tblGrid>
      <w:tr>
        <w:trPr/>
        <w:tc>
          <w:tcPr>
            <w:tcW w:w="924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at December 31, 2022</w:t>
            </w:r>
          </w:p>
        </w:tc>
        <w:tc>
          <w:tcPr>
            <w:tcW w:w="3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4" w:type="dxa"/>
            <w:tcBorders/>
            <w:shd w:fill="CCEEFF" w:val="clear"/>
            <w:vAlign w:val="bottom"/>
          </w:tcPr>
          <w:p>
            <w:pPr>
              <w:pStyle w:val="TableContents"/>
              <w:bidi w:val="0"/>
              <w:spacing w:before="0" w:after="283"/>
              <w:jc w:val="right"/>
              <w:rPr/>
            </w:pPr>
            <w:r>
              <w:rPr/>
              <w:t>153</w:t>
            </w:r>
          </w:p>
        </w:tc>
        <w:tc>
          <w:tcPr>
            <w:tcW w:w="63" w:type="dxa"/>
            <w:tcBorders/>
            <w:shd w:fill="CCEEFF" w:val="clear"/>
            <w:vAlign w:val="bottom"/>
          </w:tcPr>
          <w:p>
            <w:pPr>
              <w:pStyle w:val="TableContents"/>
              <w:bidi w:val="0"/>
              <w:spacing w:before="0" w:after="283"/>
              <w:jc w:val="left"/>
              <w:rPr/>
            </w:pPr>
            <w:r>
              <w:rPr/>
              <w:t> </w:t>
            </w:r>
          </w:p>
        </w:tc>
      </w:tr>
      <w:tr>
        <w:trPr/>
        <w:tc>
          <w:tcPr>
            <w:tcW w:w="924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2023 Warrants</w:t>
            </w:r>
          </w:p>
        </w:tc>
        <w:tc>
          <w:tcPr>
            <w:tcW w:w="3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w:t>
            </w:r>
          </w:p>
        </w:tc>
        <w:tc>
          <w:tcPr>
            <w:tcW w:w="3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39</w:t>
            </w:r>
          </w:p>
        </w:tc>
        <w:tc>
          <w:tcPr>
            <w:tcW w:w="63" w:type="dxa"/>
            <w:tcBorders/>
            <w:shd w:fill="CCEEFF" w:val="clear"/>
            <w:vAlign w:val="bottom"/>
          </w:tcPr>
          <w:p>
            <w:pPr>
              <w:pStyle w:val="TableContents"/>
              <w:bidi w:val="0"/>
              <w:spacing w:before="0" w:after="283"/>
              <w:jc w:val="left"/>
              <w:rPr/>
            </w:pPr>
            <w:r>
              <w:rPr/>
              <w:t> </w:t>
            </w:r>
          </w:p>
        </w:tc>
      </w:tr>
      <w:tr>
        <w:trPr/>
        <w:tc>
          <w:tcPr>
            <w:tcW w:w="924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924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at December 31, 2023</w:t>
            </w:r>
          </w:p>
        </w:tc>
        <w:tc>
          <w:tcPr>
            <w:tcW w:w="3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229</w:t>
            </w:r>
          </w:p>
        </w:tc>
        <w:tc>
          <w:tcPr>
            <w:tcW w:w="63" w:type="dxa"/>
            <w:tcBorders/>
            <w:vAlign w:val="bottom"/>
          </w:tcPr>
          <w:p>
            <w:pPr>
              <w:pStyle w:val="TableContents"/>
              <w:bidi w:val="0"/>
              <w:spacing w:before="0" w:after="283"/>
              <w:jc w:val="left"/>
              <w:rPr/>
            </w:pPr>
            <w:r>
              <w:rPr/>
              <w:t> </w:t>
            </w:r>
          </w:p>
        </w:tc>
      </w:tr>
      <w:tr>
        <w:trPr/>
        <w:tc>
          <w:tcPr>
            <w:tcW w:w="924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7.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 Option Plan </w:t>
      </w:r>
    </w:p>
    <w:p>
      <w:pPr>
        <w:pStyle w:val="TextBody"/>
        <w:bidi w:val="0"/>
        <w:spacing w:before="120" w:after="0"/>
        <w:jc w:val="both"/>
        <w:rPr>
          <w:rFonts w:ascii="Times New Roman" w:hAnsi="Times New Roman"/>
          <w:sz w:val="20"/>
        </w:rPr>
      </w:pPr>
      <w:r>
        <w:rPr>
          <w:rFonts w:ascii="Times New Roman" w:hAnsi="Times New Roman"/>
          <w:sz w:val="20"/>
        </w:rPr>
        <w:t xml:space="preserve">The Company issues stock-based awards pursuant to its 2015 Equity Incentive Plan, as amended (the Plan). In December 2021, the Company amended the Plan and increased the total number of shares authorized under the Plan to 3,170,724. As of December 31, 2023, 614,041 shares are available for future grants. Eligible participants include employees, directors, and consultants. The Plan permits the granting of incentive stock options, non-statutory stock options, stock awards, and stock purchase rights. The terms of the agreements are determined by the Board of Directors. The Companys stock options have a term of 10 years and vest based on the terms in the agreements, generally over 4 years.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the stock option activity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8"/>
        <w:gridCol w:w="208"/>
        <w:gridCol w:w="62"/>
        <w:gridCol w:w="920"/>
        <w:gridCol w:w="155"/>
        <w:gridCol w:w="157"/>
        <w:gridCol w:w="60"/>
        <w:gridCol w:w="1008"/>
        <w:gridCol w:w="155"/>
        <w:gridCol w:w="157"/>
        <w:gridCol w:w="216"/>
        <w:gridCol w:w="867"/>
        <w:gridCol w:w="60"/>
        <w:gridCol w:w="208"/>
        <w:gridCol w:w="197"/>
        <w:gridCol w:w="1070"/>
        <w:gridCol w:w="60"/>
        <w:gridCol w:w="207"/>
        <w:gridCol w:w="170"/>
        <w:gridCol w:w="904"/>
        <w:gridCol w:w="66"/>
      </w:tblGrid>
      <w:tr>
        <w:trPr/>
        <w:tc>
          <w:tcPr>
            <w:tcW w:w="3298"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29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Available</w:t>
              <w:br/>
              <w:t>to Grant</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Life (Years)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 (in</w:t>
              <w:br/>
              <w:t>thousands)</w:t>
            </w:r>
          </w:p>
        </w:tc>
        <w:tc>
          <w:tcPr>
            <w:tcW w:w="66" w:type="dxa"/>
            <w:tcBorders/>
            <w:vAlign w:val="bottom"/>
          </w:tcPr>
          <w:p>
            <w:pPr>
              <w:pStyle w:val="TableContents"/>
              <w:bidi w:val="0"/>
              <w:spacing w:before="0" w:after="283"/>
              <w:jc w:val="left"/>
              <w:rPr/>
            </w:pPr>
            <w:r>
              <w:rPr/>
              <w:t> </w:t>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31, 2022</w:t>
            </w:r>
          </w:p>
        </w:tc>
        <w:tc>
          <w:tcPr>
            <w:tcW w:w="20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397,576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1,944,796</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7.82</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7.9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 </w:t>
            </w:r>
            <w:r>
              <w:rPr/>
              <w:t>2,918</w:t>
            </w:r>
          </w:p>
        </w:tc>
        <w:tc>
          <w:tcPr>
            <w:tcW w:w="66" w:type="dxa"/>
            <w:tcBorders/>
            <w:shd w:fill="CCEEFF" w:val="clear"/>
            <w:vAlign w:val="bottom"/>
          </w:tcPr>
          <w:p>
            <w:pPr>
              <w:pStyle w:val="TableContents"/>
              <w:bidi w:val="0"/>
              <w:spacing w:before="0" w:after="283"/>
              <w:jc w:val="left"/>
              <w:rPr/>
            </w:pPr>
            <w:r>
              <w:rPr/>
              <w:t> </w:t>
            </w:r>
          </w:p>
        </w:tc>
      </w:tr>
      <w:tr>
        <w:trPr/>
        <w:tc>
          <w:tcPr>
            <w:tcW w:w="3298"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authorized shares</w:t>
            </w:r>
          </w:p>
        </w:tc>
        <w:tc>
          <w:tcPr>
            <w:tcW w:w="20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636,403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(480,441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480,441</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10.84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298"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0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(651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7.42</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Forfeited/expired</w:t>
            </w:r>
          </w:p>
        </w:tc>
        <w:tc>
          <w:tcPr>
            <w:tcW w:w="20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60,503</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(60,503</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9.92</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29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298" w:type="dxa"/>
            <w:tcBorders/>
          </w:tcPr>
          <w:p>
            <w:pPr>
              <w:pStyle w:val="TableContents"/>
              <w:bidi w:val="0"/>
              <w:spacing w:before="0" w:after="0"/>
              <w:jc w:val="left"/>
              <w:rPr>
                <w:rFonts w:ascii="Times New Roman" w:hAnsi="Times New Roman"/>
                <w:sz w:val="20"/>
              </w:rPr>
            </w:pPr>
            <w:r>
              <w:rPr>
                <w:rFonts w:ascii="Times New Roman" w:hAnsi="Times New Roman"/>
                <w:sz w:val="20"/>
              </w:rPr>
              <w:t>Balance - December 31, 2023</w:t>
            </w:r>
          </w:p>
        </w:tc>
        <w:tc>
          <w:tcPr>
            <w:tcW w:w="20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614,041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2,364,083</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8.38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2,864</w:t>
            </w:r>
          </w:p>
        </w:tc>
        <w:tc>
          <w:tcPr>
            <w:tcW w:w="66" w:type="dxa"/>
            <w:tcBorders/>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2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Vested and exercisable - December 31, 2023</w:t>
            </w:r>
          </w:p>
        </w:tc>
        <w:tc>
          <w:tcPr>
            <w:tcW w:w="20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1,376,210</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7.61</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$ 2,403</w:t>
            </w:r>
          </w:p>
        </w:tc>
        <w:tc>
          <w:tcPr>
            <w:tcW w:w="66" w:type="dxa"/>
            <w:tcBorders/>
            <w:shd w:fill="CCEEFF" w:val="clear"/>
            <w:vAlign w:val="bottom"/>
          </w:tcPr>
          <w:p>
            <w:pPr>
              <w:pStyle w:val="TableContents"/>
              <w:bidi w:val="0"/>
              <w:spacing w:before="0" w:after="283"/>
              <w:jc w:val="left"/>
              <w:rPr/>
            </w:pPr>
            <w:r>
              <w:rPr/>
              <w:t> </w:t>
            </w:r>
          </w:p>
        </w:tc>
      </w:tr>
      <w:tr>
        <w:trPr/>
        <w:tc>
          <w:tcPr>
            <w:tcW w:w="329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9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fair value of the stock options that were exercised during the years ended December 31, 2023 and December 31, 2022 was less than $0.1 million and $0.1 million,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fair value of options granted during the years ended December 31, 2023 and 2022 was estimated on the date of grant using a Black-Scholes option pricing model with the following weighted-average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57"/>
        <w:gridCol w:w="604"/>
        <w:gridCol w:w="140"/>
        <w:gridCol w:w="878"/>
        <w:gridCol w:w="275"/>
        <w:gridCol w:w="554"/>
        <w:gridCol w:w="140"/>
        <w:gridCol w:w="878"/>
        <w:gridCol w:w="279"/>
      </w:tblGrid>
      <w:tr>
        <w:trPr/>
        <w:tc>
          <w:tcPr>
            <w:tcW w:w="6457" w:type="dxa"/>
            <w:tcBorders/>
            <w:vAlign w:val="center"/>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457"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pPr>
            <w:r>
              <w:rPr/>
              <w:t>  </w:t>
            </w:r>
          </w:p>
        </w:tc>
        <w:tc>
          <w:tcPr>
            <w:tcW w:w="2865"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279" w:type="dxa"/>
            <w:tcBorders/>
            <w:vAlign w:val="bottom"/>
          </w:tcPr>
          <w:p>
            <w:pPr>
              <w:pStyle w:val="TableContents"/>
              <w:bidi w:val="0"/>
              <w:spacing w:before="0" w:after="283"/>
              <w:jc w:val="left"/>
              <w:rPr/>
            </w:pPr>
            <w:r>
              <w:rPr/>
              <w:t> </w:t>
            </w:r>
          </w:p>
        </w:tc>
      </w:tr>
      <w:tr>
        <w:trPr/>
        <w:tc>
          <w:tcPr>
            <w:tcW w:w="6457"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9" w:type="dxa"/>
            <w:tcBorders/>
            <w:vAlign w:val="bottom"/>
          </w:tcPr>
          <w:p>
            <w:pPr>
              <w:pStyle w:val="TableContents"/>
              <w:bidi w:val="0"/>
              <w:spacing w:before="0" w:after="283"/>
              <w:jc w:val="left"/>
              <w:rPr/>
            </w:pPr>
            <w:r>
              <w:rPr/>
              <w:t> </w:t>
            </w:r>
          </w:p>
        </w:tc>
      </w:tr>
      <w:tr>
        <w:trPr/>
        <w:tc>
          <w:tcPr>
            <w:tcW w:w="6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2.7</w:t>
            </w:r>
          </w:p>
        </w:tc>
        <w:tc>
          <w:tcPr>
            <w:tcW w:w="279" w:type="dxa"/>
            <w:tcBorders/>
            <w:shd w:fill="CCEEFF" w:val="clear"/>
            <w:vAlign w:val="bottom"/>
          </w:tcPr>
          <w:p>
            <w:pPr>
              <w:pStyle w:val="TableContents"/>
              <w:bidi w:val="0"/>
              <w:spacing w:before="0" w:after="283"/>
              <w:jc w:val="left"/>
              <w:rPr/>
            </w:pPr>
            <w:r>
              <w:rPr/>
              <w:t>% </w:t>
            </w:r>
          </w:p>
        </w:tc>
      </w:tr>
      <w:tr>
        <w:trPr/>
        <w:tc>
          <w:tcPr>
            <w:tcW w:w="6457"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6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6.0 years</w:t>
            </w:r>
          </w:p>
        </w:tc>
        <w:tc>
          <w:tcPr>
            <w:tcW w:w="27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5.4 years</w:t>
            </w:r>
          </w:p>
        </w:tc>
        <w:tc>
          <w:tcPr>
            <w:tcW w:w="279" w:type="dxa"/>
            <w:tcBorders/>
            <w:vAlign w:val="bottom"/>
          </w:tcPr>
          <w:p>
            <w:pPr>
              <w:pStyle w:val="TableContents"/>
              <w:bidi w:val="0"/>
              <w:spacing w:before="0" w:after="283"/>
              <w:jc w:val="left"/>
              <w:rPr/>
            </w:pPr>
            <w:r>
              <w:rPr/>
              <w:t> </w:t>
            </w:r>
          </w:p>
        </w:tc>
      </w:tr>
      <w:tr>
        <w:trPr/>
        <w:tc>
          <w:tcPr>
            <w:tcW w:w="6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90.3</w:t>
            </w:r>
          </w:p>
        </w:tc>
        <w:tc>
          <w:tcPr>
            <w:tcW w:w="27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86.7</w:t>
            </w:r>
          </w:p>
        </w:tc>
        <w:tc>
          <w:tcPr>
            <w:tcW w:w="279" w:type="dxa"/>
            <w:tcBorders/>
            <w:shd w:fill="CCEEFF" w:val="clear"/>
            <w:vAlign w:val="bottom"/>
          </w:tcPr>
          <w:p>
            <w:pPr>
              <w:pStyle w:val="TableContents"/>
              <w:bidi w:val="0"/>
              <w:spacing w:before="0" w:after="283"/>
              <w:jc w:val="left"/>
              <w:rPr/>
            </w:pPr>
            <w:r>
              <w:rPr/>
              <w:t>% </w:t>
            </w:r>
          </w:p>
        </w:tc>
      </w:tr>
      <w:tr>
        <w:trPr/>
        <w:tc>
          <w:tcPr>
            <w:tcW w:w="6457"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6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the Companys common stock (per share)</w:t>
            </w:r>
          </w:p>
        </w:tc>
        <w:tc>
          <w:tcPr>
            <w:tcW w:w="6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7.59</w:t>
            </w:r>
          </w:p>
        </w:tc>
        <w:tc>
          <w:tcPr>
            <w:tcW w:w="275"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8.57</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fair value of each stock option is estimated on the grant date using the Black-Scholes option pricing model, which requires inputs based on certain subjective assumptions, including: </w:t>
      </w:r>
    </w:p>
    <w:p>
      <w:pPr>
        <w:pStyle w:val="TextBody"/>
        <w:bidi w:val="0"/>
        <w:spacing w:before="240" w:after="0"/>
        <w:jc w:val="both"/>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The risk-free interest rate is based on the U.S. Treasury zero coupon issues in effect at the time of grant for periods corresponding with the expected term of option. </w:t>
      </w:r>
    </w:p>
    <w:p>
      <w:pPr>
        <w:pStyle w:val="TextBody"/>
        <w:bidi w:val="0"/>
        <w:spacing w:before="240" w:after="0"/>
        <w:jc w:val="both"/>
        <w:rPr>
          <w:rFonts w:ascii="Times New Roman" w:hAnsi="Times New Roman"/>
          <w:sz w:val="20"/>
        </w:rPr>
      </w:pPr>
      <w:r>
        <w:rPr>
          <w:rFonts w:ascii="Times New Roman" w:hAnsi="Times New Roman"/>
          <w:i/>
          <w:sz w:val="20"/>
        </w:rPr>
        <w:t>Expected Term</w:t>
      </w:r>
      <w:r>
        <w:rPr>
          <w:rFonts w:ascii="Times New Roman" w:hAnsi="Times New Roman"/>
          <w:sz w:val="20"/>
        </w:rPr>
        <w:t xml:space="preserve">The Company uses the simplified method (based on the mid-point between the vesting date and the end of the contractual term) to estimate the expected term of the option. Management has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historical information to develop reasonable expectations about future exercise patterns and post-vesting employment termination behavior for Company stock option grants. The simplified method makes the assumption that the employee will exercise share options evenly over the period when the share options are vested and ending on the date when the share options would expire. </w:t>
      </w:r>
    </w:p>
    <w:p>
      <w:pPr>
        <w:pStyle w:val="TextBody"/>
        <w:bidi w:val="0"/>
        <w:spacing w:before="240" w:after="0"/>
        <w:jc w:val="both"/>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Since the Companys shares are not publicly traded, expected volatility is estimated based on the average historical volatility of similar entities with publicly traded shares. When selecting comparable publicly traded biopharmaceutical companies on which the Company has based its expected stock price volatility, the Company selected companies with comparable characteristics, including enterprise value, risk profiles, development stage, and with historical share price information sufficient to meet the expected term of the stock-based awards. </w:t>
      </w:r>
    </w:p>
    <w:p>
      <w:pPr>
        <w:pStyle w:val="TextBody"/>
        <w:bidi w:val="0"/>
        <w:spacing w:before="240" w:after="0"/>
        <w:jc w:val="both"/>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The Company has never paid dividends on its common stock and has no plans to pay dividends on its common stock. Therefore, the Company used an expected dividend yield of zero. </w:t>
      </w:r>
    </w:p>
    <w:p>
      <w:pPr>
        <w:pStyle w:val="TextBody"/>
        <w:bidi w:val="0"/>
        <w:spacing w:before="240" w:after="0"/>
        <w:jc w:val="both"/>
        <w:rPr>
          <w:rFonts w:ascii="Times New Roman" w:hAnsi="Times New Roman"/>
          <w:sz w:val="20"/>
        </w:rPr>
      </w:pPr>
      <w:r>
        <w:rPr>
          <w:rFonts w:ascii="Times New Roman" w:hAnsi="Times New Roman"/>
          <w:i/>
          <w:sz w:val="20"/>
        </w:rPr>
        <w:t>Estimated Fair Value of Common Stock</w:t>
      </w:r>
      <w:r>
        <w:rPr>
          <w:rFonts w:ascii="Times New Roman" w:hAnsi="Times New Roman"/>
          <w:sz w:val="20"/>
        </w:rPr>
        <w:t xml:space="preserve">The estimated fair value of the shares of common stock underlying stock options was determined by the 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w:t>
      </w:r>
    </w:p>
    <w:p>
      <w:pPr>
        <w:pStyle w:val="TextBody"/>
        <w:bidi w:val="0"/>
        <w:spacing w:before="240" w:after="0"/>
        <w:jc w:val="both"/>
        <w:rPr>
          <w:rFonts w:ascii="Times New Roman" w:hAnsi="Times New Roman"/>
          <w:sz w:val="20"/>
        </w:rPr>
      </w:pPr>
      <w:r>
        <w:rPr>
          <w:rFonts w:ascii="Times New Roman" w:hAnsi="Times New Roman"/>
          <w:sz w:val="20"/>
        </w:rPr>
        <w:t xml:space="preserve">Stock-based compensation expense recorded as research and development and general and administrative expenses in the statements of operations and comprehensive loss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78"/>
        <w:gridCol w:w="328"/>
        <w:gridCol w:w="140"/>
        <w:gridCol w:w="634"/>
        <w:gridCol w:w="60"/>
        <w:gridCol w:w="328"/>
        <w:gridCol w:w="140"/>
        <w:gridCol w:w="634"/>
        <w:gridCol w:w="63"/>
      </w:tblGrid>
      <w:tr>
        <w:trPr/>
        <w:tc>
          <w:tcPr>
            <w:tcW w:w="787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87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9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 </w:t>
            </w:r>
            <w:r>
              <w:rPr/>
              <w:t>1,091</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 </w:t>
            </w:r>
            <w:r>
              <w:rPr/>
              <w:t>1,732</w:t>
            </w:r>
          </w:p>
        </w:tc>
        <w:tc>
          <w:tcPr>
            <w:tcW w:w="63" w:type="dxa"/>
            <w:tcBorders/>
            <w:shd w:fill="CCEEFF" w:val="clear"/>
            <w:vAlign w:val="bottom"/>
          </w:tcPr>
          <w:p>
            <w:pPr>
              <w:pStyle w:val="TableContents"/>
              <w:bidi w:val="0"/>
              <w:spacing w:before="0" w:after="283"/>
              <w:jc w:val="left"/>
              <w:rPr/>
            </w:pPr>
            <w:r>
              <w:rPr/>
              <w:t> </w:t>
            </w:r>
          </w:p>
        </w:tc>
      </w:tr>
      <w:tr>
        <w:trPr/>
        <w:tc>
          <w:tcPr>
            <w:tcW w:w="787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1,925</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808</w:t>
            </w:r>
          </w:p>
        </w:tc>
        <w:tc>
          <w:tcPr>
            <w:tcW w:w="63" w:type="dxa"/>
            <w:tcBorders/>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3,016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2,540</w:t>
            </w:r>
          </w:p>
        </w:tc>
        <w:tc>
          <w:tcPr>
            <w:tcW w:w="63" w:type="dxa"/>
            <w:tcBorders/>
            <w:shd w:fill="CCEEFF" w:val="clear"/>
            <w:vAlign w:val="bottom"/>
          </w:tcPr>
          <w:p>
            <w:pPr>
              <w:pStyle w:val="TableContents"/>
              <w:bidi w:val="0"/>
              <w:spacing w:before="0" w:after="283"/>
              <w:jc w:val="left"/>
              <w:rPr/>
            </w:pPr>
            <w:r>
              <w:rPr/>
              <w:t> </w:t>
            </w:r>
          </w:p>
        </w:tc>
      </w:tr>
      <w:tr>
        <w:trPr/>
        <w:tc>
          <w:tcPr>
            <w:tcW w:w="787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December 31, 2023, there was $5.7 million of unrecognized compensation cost that is expected to be recognized over a weighted average period of 2.5 years. </w:t>
      </w:r>
    </w:p>
    <w:p>
      <w:pPr>
        <w:pStyle w:val="TextBody"/>
        <w:bidi w:val="0"/>
        <w:spacing w:before="360" w:after="0"/>
        <w:jc w:val="left"/>
        <w:rPr>
          <w:rFonts w:ascii="Times New Roman" w:hAnsi="Times New Roman"/>
          <w:b/>
          <w:sz w:val="20"/>
        </w:rPr>
      </w:pPr>
      <w:r>
        <w:rPr>
          <w:rFonts w:ascii="Times New Roman" w:hAnsi="Times New Roman"/>
          <w:b/>
          <w:sz w:val="20"/>
        </w:rPr>
        <w:t xml:space="preserve">Note 8.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 entered into indemnification agreements with directors and certain officers that will require the Company, among other things, to indemnify them against certain liabilities that may arise by reason of their status or service as directors or officers. No demands have been made upon the Company to provide indemnification under such agreements, and thus, there are no claims that the Company is aware of that could have a material effect on the consolidated financial statements. The Company also maintains director and officer insurance, which may cover certain liabilities arising from the Companys obligation to indemnify its directors and officers. To date, the Company has not incurred any costs and have not accrued any liabilities in the consolidated financial statements as a result of these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not a party to any litigation and does not have contingency reserves established for any litigation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 Plan </w:t>
      </w:r>
    </w:p>
    <w:p>
      <w:pPr>
        <w:pStyle w:val="TextBody"/>
        <w:bidi w:val="0"/>
        <w:spacing w:before="120" w:after="0"/>
        <w:jc w:val="both"/>
        <w:rPr>
          <w:rFonts w:ascii="Times New Roman" w:hAnsi="Times New Roman"/>
          <w:sz w:val="20"/>
        </w:rPr>
      </w:pPr>
      <w:r>
        <w:rPr>
          <w:rFonts w:ascii="Times New Roman" w:hAnsi="Times New Roman"/>
          <w:sz w:val="20"/>
        </w:rPr>
        <w:t xml:space="preserve">The Company maintains a defined contribution 401(k) plan, under which employee contributions are voluntary and are determined on an individual basis, limited by the maximum amounts allowable under federal tax regulations. The Company provides an automatic matching contribution of employee contributions into the plan up to a maximum of 4% of employee deferral. The Companys matching contributions to employees was $0.5 million and $0.4 million during each of the years ended December 31, 2023 and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In August 2017, the Company entered into an agreement to lease approximately 6,436 square feet of office and lab space in Richmond California, which the Company uses for its corporate offices and research facility (the Richmond Lease). The Richmond lease had an initial term of three years but was amended in October 2017 and August 2019 to add additional space for a total of 18,829 square feet and to extend the term of the lease through February 2023. The Company entered into an amendment in January 2023 which extended the term of the lease through August 2024. The Richmond Lease includes escalating rent payments but does not provide for any renewal options. The Company recognizes rent expense on a straight-line basis over the lease term. The Richmond lease does not provide a bargain purchase option nor does it transfer ownership at any point during the lease to the Company and is classified as an operating lease.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2023, the remaining lease term was 0.67 years and the discount rate used to determine the operating leases liability was 14.65%. </w:t>
      </w:r>
    </w:p>
    <w:p>
      <w:pPr>
        <w:pStyle w:val="TextBody"/>
        <w:bidi w:val="0"/>
        <w:spacing w:before="240" w:after="0"/>
        <w:jc w:val="both"/>
        <w:rPr>
          <w:rFonts w:ascii="Times New Roman" w:hAnsi="Times New Roman"/>
          <w:sz w:val="20"/>
        </w:rPr>
      </w:pPr>
      <w:r>
        <w:rPr>
          <w:rFonts w:ascii="Times New Roman" w:hAnsi="Times New Roman"/>
          <w:sz w:val="20"/>
        </w:rPr>
        <w:t xml:space="preserve">Cash paid for amounts included in the measurement of operating lease liabilities was $0.3 million for the years ended December 31, 2023 and 2022, respectively, and was included in net cash used in operating activities in the consolidated statement of cash flows. </w:t>
      </w:r>
    </w:p>
    <w:p>
      <w:pPr>
        <w:pStyle w:val="TextBody"/>
        <w:bidi w:val="0"/>
        <w:spacing w:before="240" w:after="0"/>
        <w:jc w:val="both"/>
        <w:rPr>
          <w:rFonts w:ascii="Times New Roman" w:hAnsi="Times New Roman"/>
          <w:sz w:val="20"/>
        </w:rPr>
      </w:pPr>
      <w:r>
        <w:rPr>
          <w:rFonts w:ascii="Times New Roman" w:hAnsi="Times New Roman"/>
          <w:sz w:val="20"/>
        </w:rPr>
        <w:t xml:space="preserve">Future minimum rental payments of $0.2 million will be made in 2024. Rent expense was $0.4 million and $0.3 million for the years ended December 31, 2023 and 2022, respectively. Variable lease payments related to operating leases for the years ended December 31, 2022 were not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Note 9. License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Wellcome Leap Commercial Research Funding Agreement </w:t>
      </w:r>
    </w:p>
    <w:p>
      <w:pPr>
        <w:pStyle w:val="TextBody"/>
        <w:bidi w:val="0"/>
        <w:spacing w:before="120" w:after="0"/>
        <w:jc w:val="both"/>
        <w:rPr>
          <w:rFonts w:ascii="Times New Roman" w:hAnsi="Times New Roman"/>
          <w:sz w:val="20"/>
        </w:rPr>
      </w:pPr>
      <w:r>
        <w:rPr>
          <w:rFonts w:ascii="Times New Roman" w:hAnsi="Times New Roman"/>
          <w:sz w:val="20"/>
        </w:rPr>
        <w:t xml:space="preserve">In September 2023, the Company entered into a Commercial Research Funding Agreement with Wellcome Leap, Inc.(the Wellcome Leap Agreement) in which Wellcome Leap was to fund certain research and development work performed by the Company. In connection with the Wellcome Leap Agreement, the Company entered into a statement of work in which the Company was to evaluate Azelaprags efficacy at preventing muscle atrophy and frailty during hospitalization in chronic obstructive pulmonary disease (COPD) patients through a Phase 2 clinical trial (the COPD Trial). </w:t>
      </w:r>
    </w:p>
    <w:p>
      <w:pPr>
        <w:pStyle w:val="TextBody"/>
        <w:bidi w:val="0"/>
        <w:spacing w:before="240" w:after="0"/>
        <w:jc w:val="both"/>
        <w:rPr>
          <w:rFonts w:ascii="Times New Roman" w:hAnsi="Times New Roman"/>
          <w:sz w:val="20"/>
        </w:rPr>
      </w:pPr>
      <w:r>
        <w:rPr>
          <w:rFonts w:ascii="Times New Roman" w:hAnsi="Times New Roman"/>
          <w:sz w:val="20"/>
        </w:rPr>
        <w:t xml:space="preserve">Also, in September 2023, Wellcome Leap made a payment of $3.3 million to the Company to cover costs to be incurred related to the COPD Trial (the Grant Funds). As the Grant Funds are maintained in a separate bank account from the Companys other funds and are only to be expended on the COPD Trial, it was determined that the Grant Funds represent restricted cash and are classified as such in the consolidated balance sheet as of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March 2024, the Company informed Wellcome Leap that it planned to terminate the COPD Trial due to concerns regarding commercial feasibility. The entire $3.3 million in Grant Funds will be returned to Wellcome Leap in 2024. Accordingly, no grant income will be recognized from the Wellcome Leap Agreement as the COPD Trial was not completed, and any costs incurred by the Company related to the COPD trial are recorded as research and development expense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Amgen Exclusive License Agreement </w:t>
      </w:r>
    </w:p>
    <w:p>
      <w:pPr>
        <w:pStyle w:val="TextBody"/>
        <w:bidi w:val="0"/>
        <w:spacing w:before="120" w:after="0"/>
        <w:jc w:val="both"/>
        <w:rPr>
          <w:rFonts w:ascii="Times New Roman" w:hAnsi="Times New Roman"/>
          <w:sz w:val="20"/>
        </w:rPr>
      </w:pPr>
      <w:r>
        <w:rPr>
          <w:rFonts w:ascii="Times New Roman" w:hAnsi="Times New Roman"/>
          <w:sz w:val="20"/>
        </w:rPr>
        <w:t xml:space="preserve">On April 5, 2021, the Company entered into an exclusive license agreement (the Amgen Agreement) with Amgen Inc. (Amgen) pursuant to which Amgen granted the Company an exclusive, worldwide license, with the right to sublicense (subject to certain conditions), under Amgens rights in specified patents relating to Amgens proprietary compound, AMG 986, a novel apelin J receptor agonist, to research, develop, and commercialize AMG 986 in all diagnostic, preventative or therapeutic uses. Amgen also granted the Company a non-exclusive, worldwide license, with the right to sublicense (subject to certain conditions), under Amgens rights in specified know-how relating to AMG 986, including research reports, clinical data, manufacturing processes, regulatory documents, and other information pertaining to AMG 986, to research, develop, and commercialize AMG 986 in all diagnostic, preventative or therapeutic uses. Although the Company maintains the exclusive rights described above with respect to the specified patents, Amgen retains research-only rights solely for Amgens internal research. All right, title and interest to inventions conceived or created by a party under the Amgen Agreement that are exclusively related to AMG 986 will be owned exclusively by the Company, regardless of inventorship. </w:t>
      </w:r>
    </w:p>
    <w:p>
      <w:pPr>
        <w:pStyle w:val="TextBody"/>
        <w:bidi w:val="0"/>
        <w:spacing w:before="240" w:after="0"/>
        <w:jc w:val="both"/>
        <w:rPr>
          <w:rFonts w:ascii="Times New Roman" w:hAnsi="Times New Roman"/>
          <w:sz w:val="20"/>
        </w:rPr>
      </w:pPr>
      <w:r>
        <w:rPr>
          <w:rFonts w:ascii="Times New Roman" w:hAnsi="Times New Roman"/>
          <w:sz w:val="20"/>
        </w:rPr>
        <w:t xml:space="preserve">Under the Amgen Agreement, the Company is obligated to use commercially reasonable efforts to develop and commercialize at least one licensed product in each of the United States, European Union, Japan and the rest of the world (ROW). If the Company fails to materially develop or commercialize such products for twelve months in the United States, European Union, Japan, or ROW, and such failure is not due to reasons out of the Companys control, in addition to other available remedies, Amgen may terminate the agreement with respect to the failing region, subject to a cure period. </w:t>
      </w:r>
    </w:p>
    <w:p>
      <w:pPr>
        <w:pStyle w:val="TextBody"/>
        <w:bidi w:val="0"/>
        <w:spacing w:before="240" w:after="0"/>
        <w:jc w:val="both"/>
        <w:rPr>
          <w:rFonts w:ascii="Times New Roman" w:hAnsi="Times New Roman"/>
          <w:sz w:val="20"/>
        </w:rPr>
      </w:pPr>
      <w:r>
        <w:rPr>
          <w:rFonts w:ascii="Times New Roman" w:hAnsi="Times New Roman"/>
          <w:sz w:val="20"/>
        </w:rPr>
        <w:t xml:space="preserve">In consideration for the rights granted under the Amgen Agreement, the Company paid an upfront fee of $1.0 million and issued Amgen 846,152 shares of its Series C Preferred Stock. Additionally, the Company may also be required to pay up to an additional $120.0 million in the aggregate for future development, regulatory and commercial milestone payments, as well as tiered royalties at percentages ranging in the low-to upper-single digits on future net sales by the Company and its sublicensees of licensed products, if any. Royalties are paid on a product-by-product basis and commence with respect to a particular country upon the first commercial sale in such country and terminate in such country on the latest to occur of the date on which such product is no longer covered by a valid claim in such country, the loss of regulatory exclusivity for such product in such country, and for a specified time period after the first commercial sale of such product in such country. Such royalties may be decreased if, among other reasons, the Company is required to pay a third party for rights to intellectual property for the exploitation of a licensed product in a given country, but in no event be reduced in aggregate by a specified percentage. </w:t>
      </w:r>
    </w:p>
    <w:p>
      <w:pPr>
        <w:pStyle w:val="TextBody"/>
        <w:bidi w:val="0"/>
        <w:spacing w:before="240" w:after="0"/>
        <w:jc w:val="both"/>
        <w:rPr>
          <w:rFonts w:ascii="Times New Roman" w:hAnsi="Times New Roman"/>
          <w:sz w:val="20"/>
        </w:rPr>
      </w:pPr>
      <w:r>
        <w:rPr>
          <w:rFonts w:ascii="Times New Roman" w:hAnsi="Times New Roman"/>
          <w:sz w:val="20"/>
        </w:rPr>
        <w:t xml:space="preserve">The term of the Amgen Agreement will end on a licensed product-by-licensed product basis and country-by-country basis upon the expiration of the Companys obligation to pay royalties to Amgen with respect to such licensed products in such countries. The Company may terminate the Amgen Agreement in its entirety for convenience upon a specified written notice period. Amgen has the right to terminate the agreement if the Company, or one of its affiliates or sublicensees, challenges the patentability, enforceability, or validity of a licensed patent, subject to a cure period. Additionally, either party will be able to terminate the Amgen Agreement for the other partys uncured material breach or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10. Income Taxes </w:t>
      </w:r>
    </w:p>
    <w:p>
      <w:pPr>
        <w:pStyle w:val="TextBody"/>
        <w:bidi w:val="0"/>
        <w:spacing w:before="120" w:after="0"/>
        <w:jc w:val="both"/>
        <w:rPr>
          <w:rFonts w:ascii="Times New Roman" w:hAnsi="Times New Roman"/>
          <w:sz w:val="20"/>
        </w:rPr>
      </w:pPr>
      <w:r>
        <w:rPr>
          <w:rFonts w:ascii="Times New Roman" w:hAnsi="Times New Roman"/>
          <w:sz w:val="20"/>
        </w:rPr>
        <w:t xml:space="preserve">Substantially all of the Companys loss before income tax was generated in the United States of America, and no income tax expense or benefit has been recorded for the years ended December 31, 2023 and 2022. This is due to the Companys history of losses before income tax since inception and the establishment of a valuation allowance against deferred tax assets generated during those periods. As of December 31, 2023, the Company has concluded that it is more likely than not that the Company may not realize the benefit of its deferred tax assets due to its history of losses. Accordingly, the Company has recorded a 100% valuation allowance against the net deferred tax assets. </w:t>
      </w:r>
    </w:p>
    <w:p>
      <w:pPr>
        <w:pStyle w:val="TextBody"/>
        <w:bidi w:val="0"/>
        <w:spacing w:before="240" w:after="0"/>
        <w:jc w:val="both"/>
        <w:rPr>
          <w:rFonts w:ascii="Times New Roman" w:hAnsi="Times New Roman"/>
          <w:sz w:val="20"/>
        </w:rPr>
      </w:pPr>
      <w:r>
        <w:rPr>
          <w:rFonts w:ascii="Times New Roman" w:hAnsi="Times New Roman"/>
          <w:sz w:val="20"/>
        </w:rPr>
        <w:t xml:space="preserve">A reconciliation of income tax benefit at the statutory federal income tax rate and income taxes as reflected in the consolidated financial statements as of December 31, 2023 and 2022 is as follows (in thousands,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2"/>
        <w:gridCol w:w="280"/>
        <w:gridCol w:w="140"/>
        <w:gridCol w:w="758"/>
        <w:gridCol w:w="155"/>
        <w:gridCol w:w="226"/>
        <w:gridCol w:w="130"/>
        <w:gridCol w:w="1170"/>
        <w:gridCol w:w="354"/>
        <w:gridCol w:w="226"/>
        <w:gridCol w:w="155"/>
        <w:gridCol w:w="714"/>
        <w:gridCol w:w="155"/>
        <w:gridCol w:w="226"/>
        <w:gridCol w:w="130"/>
        <w:gridCol w:w="1169"/>
        <w:gridCol w:w="365"/>
      </w:tblGrid>
      <w:tr>
        <w:trPr/>
        <w:tc>
          <w:tcPr>
            <w:tcW w:w="3852"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852"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570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65" w:type="dxa"/>
            <w:tcBorders/>
            <w:vAlign w:val="bottom"/>
          </w:tcPr>
          <w:p>
            <w:pPr>
              <w:pStyle w:val="TableContents"/>
              <w:bidi w:val="0"/>
              <w:spacing w:before="0" w:after="283"/>
              <w:jc w:val="left"/>
              <w:rPr/>
            </w:pPr>
            <w:r>
              <w:rPr/>
              <w:t> </w:t>
            </w:r>
          </w:p>
        </w:tc>
      </w:tr>
      <w:tr>
        <w:trPr/>
        <w:tc>
          <w:tcPr>
            <w:tcW w:w="3852"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5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5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5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65" w:type="dxa"/>
            <w:tcBorders/>
            <w:vAlign w:val="bottom"/>
          </w:tcPr>
          <w:p>
            <w:pPr>
              <w:pStyle w:val="TableContents"/>
              <w:bidi w:val="0"/>
              <w:spacing w:before="0" w:after="283"/>
              <w:jc w:val="left"/>
              <w:rPr/>
            </w:pPr>
            <w:r>
              <w:rPr/>
              <w:t> </w:t>
            </w:r>
          </w:p>
        </w:tc>
      </w:tr>
      <w:tr>
        <w:trPr/>
        <w:tc>
          <w:tcPr>
            <w:tcW w:w="3852"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Pretax</w:t>
              <w:br/>
              <w:t>Earnings</w:t>
            </w:r>
          </w:p>
        </w:tc>
        <w:tc>
          <w:tcPr>
            <w:tcW w:w="35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Pretax</w:t>
              <w:br/>
              <w:t>Earnings</w:t>
            </w:r>
          </w:p>
        </w:tc>
        <w:tc>
          <w:tcPr>
            <w:tcW w:w="365" w:type="dxa"/>
            <w:tcBorders/>
            <w:vAlign w:val="bottom"/>
          </w:tcPr>
          <w:p>
            <w:pPr>
              <w:pStyle w:val="TableContents"/>
              <w:bidi w:val="0"/>
              <w:spacing w:before="0" w:after="283"/>
              <w:jc w:val="left"/>
              <w:rPr/>
            </w:pPr>
            <w:r>
              <w:rPr/>
              <w:t> </w:t>
            </w:r>
          </w:p>
        </w:tc>
      </w:tr>
      <w:tr>
        <w:trPr/>
        <w:tc>
          <w:tcPr>
            <w:tcW w:w="3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at statutory rate</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(13,415</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21.0</w:t>
            </w:r>
          </w:p>
        </w:tc>
        <w:tc>
          <w:tcPr>
            <w:tcW w:w="35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(8,563</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21.0</w:t>
            </w:r>
          </w:p>
        </w:tc>
        <w:tc>
          <w:tcPr>
            <w:tcW w:w="365" w:type="dxa"/>
            <w:tcBorders/>
            <w:shd w:fill="CCEEFF" w:val="clear"/>
            <w:vAlign w:val="bottom"/>
          </w:tcPr>
          <w:p>
            <w:pPr>
              <w:pStyle w:val="TableContents"/>
              <w:bidi w:val="0"/>
              <w:spacing w:before="0" w:after="283"/>
              <w:jc w:val="left"/>
              <w:rPr/>
            </w:pPr>
            <w:r>
              <w:rPr/>
              <w:t>% </w:t>
            </w:r>
          </w:p>
        </w:tc>
      </w:tr>
      <w:tr>
        <w:trPr/>
        <w:tc>
          <w:tcPr>
            <w:tcW w:w="3852"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0.1</w:t>
            </w:r>
          </w:p>
        </w:tc>
        <w:tc>
          <w:tcPr>
            <w:tcW w:w="35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(542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1.3</w:t>
            </w:r>
          </w:p>
        </w:tc>
        <w:tc>
          <w:tcPr>
            <w:tcW w:w="365" w:type="dxa"/>
            <w:tcBorders/>
            <w:vAlign w:val="bottom"/>
          </w:tcPr>
          <w:p>
            <w:pPr>
              <w:pStyle w:val="TableContents"/>
              <w:bidi w:val="0"/>
              <w:spacing w:before="0" w:after="283"/>
              <w:jc w:val="left"/>
              <w:rPr/>
            </w:pPr>
            <w:r>
              <w:rPr/>
              <w:t>% </w:t>
            </w:r>
          </w:p>
        </w:tc>
      </w:tr>
      <w:tr>
        <w:trPr/>
        <w:tc>
          <w:tcPr>
            <w:tcW w:w="3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R&amp;D credits</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(1,794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2.8</w:t>
            </w:r>
          </w:p>
        </w:tc>
        <w:tc>
          <w:tcPr>
            <w:tcW w:w="35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(1,192</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2.9</w:t>
            </w:r>
          </w:p>
        </w:tc>
        <w:tc>
          <w:tcPr>
            <w:tcW w:w="365" w:type="dxa"/>
            <w:tcBorders/>
            <w:shd w:fill="CCEEFF" w:val="clear"/>
            <w:vAlign w:val="bottom"/>
          </w:tcPr>
          <w:p>
            <w:pPr>
              <w:pStyle w:val="TableContents"/>
              <w:bidi w:val="0"/>
              <w:spacing w:before="0" w:after="283"/>
              <w:jc w:val="left"/>
              <w:rPr/>
            </w:pPr>
            <w:r>
              <w:rPr/>
              <w:t>% </w:t>
            </w:r>
          </w:p>
        </w:tc>
      </w:tr>
      <w:tr>
        <w:trPr/>
        <w:tc>
          <w:tcPr>
            <w:tcW w:w="3852"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unrecognized tax benefit</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515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(0.8</w:t>
            </w:r>
          </w:p>
        </w:tc>
        <w:tc>
          <w:tcPr>
            <w:tcW w:w="35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420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(1.0</w:t>
            </w:r>
          </w:p>
        </w:tc>
        <w:tc>
          <w:tcPr>
            <w:tcW w:w="365" w:type="dxa"/>
            <w:tcBorders/>
            <w:vAlign w:val="bottom"/>
          </w:tcPr>
          <w:p>
            <w:pPr>
              <w:pStyle w:val="TableContents"/>
              <w:bidi w:val="0"/>
              <w:spacing w:before="0" w:after="283"/>
              <w:jc w:val="left"/>
              <w:rPr/>
            </w:pPr>
            <w:r>
              <w:rPr/>
              <w:t>%) </w:t>
            </w:r>
          </w:p>
        </w:tc>
      </w:tr>
      <w:tr>
        <w:trPr/>
        <w:tc>
          <w:tcPr>
            <w:tcW w:w="3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276</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(0.4</w:t>
            </w:r>
          </w:p>
        </w:tc>
        <w:tc>
          <w:tcPr>
            <w:tcW w:w="35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378</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(0.9</w:t>
            </w:r>
          </w:p>
        </w:tc>
        <w:tc>
          <w:tcPr>
            <w:tcW w:w="365" w:type="dxa"/>
            <w:tcBorders/>
            <w:shd w:fill="CCEEFF" w:val="clear"/>
            <w:vAlign w:val="bottom"/>
          </w:tcPr>
          <w:p>
            <w:pPr>
              <w:pStyle w:val="TableContents"/>
              <w:bidi w:val="0"/>
              <w:spacing w:before="0" w:after="283"/>
              <w:jc w:val="left"/>
              <w:rPr/>
            </w:pPr>
            <w:r>
              <w:rPr/>
              <w:t>%) </w:t>
            </w:r>
          </w:p>
        </w:tc>
      </w:tr>
      <w:tr>
        <w:trPr/>
        <w:tc>
          <w:tcPr>
            <w:tcW w:w="3852"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(553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0.9</w:t>
            </w:r>
          </w:p>
        </w:tc>
        <w:tc>
          <w:tcPr>
            <w:tcW w:w="35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(0.2</w:t>
            </w:r>
          </w:p>
        </w:tc>
        <w:tc>
          <w:tcPr>
            <w:tcW w:w="365" w:type="dxa"/>
            <w:tcBorders/>
            <w:vAlign w:val="bottom"/>
          </w:tcPr>
          <w:p>
            <w:pPr>
              <w:pStyle w:val="TableContents"/>
              <w:bidi w:val="0"/>
              <w:spacing w:before="0" w:after="283"/>
              <w:jc w:val="left"/>
              <w:rPr/>
            </w:pPr>
            <w:r>
              <w:rPr/>
              <w:t>%) </w:t>
            </w:r>
          </w:p>
        </w:tc>
      </w:tr>
      <w:tr>
        <w:trPr/>
        <w:tc>
          <w:tcPr>
            <w:tcW w:w="3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Disallowed interest expense</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1,303</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(2.0</w:t>
            </w:r>
          </w:p>
        </w:tc>
        <w:tc>
          <w:tcPr>
            <w:tcW w:w="35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w:t>
            </w:r>
          </w:p>
        </w:tc>
        <w:tc>
          <w:tcPr>
            <w:tcW w:w="365" w:type="dxa"/>
            <w:tcBorders/>
            <w:shd w:fill="CCEEFF" w:val="clear"/>
            <w:vAlign w:val="bottom"/>
          </w:tcPr>
          <w:p>
            <w:pPr>
              <w:pStyle w:val="TableContents"/>
              <w:bidi w:val="0"/>
              <w:spacing w:before="0" w:after="283"/>
              <w:jc w:val="left"/>
              <w:rPr/>
            </w:pPr>
            <w:r>
              <w:rPr/>
              <w:t> </w:t>
            </w:r>
          </w:p>
        </w:tc>
      </w:tr>
      <w:tr>
        <w:trPr/>
        <w:tc>
          <w:tcPr>
            <w:tcW w:w="385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 derivative liability</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2,120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(3.3</w:t>
            </w:r>
          </w:p>
        </w:tc>
        <w:tc>
          <w:tcPr>
            <w:tcW w:w="35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w:t>
            </w:r>
          </w:p>
        </w:tc>
        <w:tc>
          <w:tcPr>
            <w:tcW w:w="365" w:type="dxa"/>
            <w:tcBorders/>
            <w:vAlign w:val="bottom"/>
          </w:tcPr>
          <w:p>
            <w:pPr>
              <w:pStyle w:val="TableContents"/>
              <w:bidi w:val="0"/>
              <w:spacing w:before="0" w:after="283"/>
              <w:jc w:val="left"/>
              <w:rPr/>
            </w:pPr>
            <w:r>
              <w:rPr/>
              <w:t> </w:t>
            </w:r>
          </w:p>
        </w:tc>
      </w:tr>
      <w:tr>
        <w:trPr/>
        <w:tc>
          <w:tcPr>
            <w:tcW w:w="3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11,606</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283"/>
              <w:jc w:val="right"/>
              <w:rPr/>
            </w:pPr>
            <w:r>
              <w:rPr/>
              <w:t>(18.3</w:t>
            </w:r>
          </w:p>
        </w:tc>
        <w:tc>
          <w:tcPr>
            <w:tcW w:w="35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9,426</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(23.1</w:t>
            </w:r>
          </w:p>
        </w:tc>
        <w:tc>
          <w:tcPr>
            <w:tcW w:w="365" w:type="dxa"/>
            <w:tcBorders/>
            <w:shd w:fill="CCEEFF" w:val="clear"/>
            <w:vAlign w:val="bottom"/>
          </w:tcPr>
          <w:p>
            <w:pPr>
              <w:pStyle w:val="TableContents"/>
              <w:bidi w:val="0"/>
              <w:spacing w:before="0" w:after="283"/>
              <w:jc w:val="left"/>
              <w:rPr/>
            </w:pPr>
            <w:r>
              <w:rPr/>
              <w:t>%) </w:t>
            </w:r>
          </w:p>
        </w:tc>
      </w:tr>
      <w:tr>
        <w:trPr/>
        <w:tc>
          <w:tcPr>
            <w:tcW w:w="385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pBdr>
                <w:top w:val="single" w:sz="2" w:space="1" w:color="000000"/>
              </w:pBdr>
              <w:bidi w:val="0"/>
              <w:spacing w:before="0" w:after="0"/>
              <w:jc w:val="left"/>
              <w:rPr/>
            </w:pPr>
            <w:r>
              <w:rPr/>
              <w:t> </w:t>
            </w:r>
          </w:p>
        </w:tc>
        <w:tc>
          <w:tcPr>
            <w:tcW w:w="1170"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852"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 benefit</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0.0</w:t>
            </w:r>
          </w:p>
        </w:tc>
        <w:tc>
          <w:tcPr>
            <w:tcW w:w="35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0.0</w:t>
            </w:r>
          </w:p>
        </w:tc>
        <w:tc>
          <w:tcPr>
            <w:tcW w:w="365" w:type="dxa"/>
            <w:tcBorders/>
            <w:vAlign w:val="bottom"/>
          </w:tcPr>
          <w:p>
            <w:pPr>
              <w:pStyle w:val="TableContents"/>
              <w:bidi w:val="0"/>
              <w:spacing w:before="0" w:after="283"/>
              <w:jc w:val="left"/>
              <w:rPr/>
            </w:pPr>
            <w:r>
              <w:rPr/>
              <w:t>% </w:t>
            </w:r>
          </w:p>
        </w:tc>
      </w:tr>
      <w:tr>
        <w:trPr/>
        <w:tc>
          <w:tcPr>
            <w:tcW w:w="385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pBdr>
                <w:top w:val="double" w:sz="6" w:space="1" w:color="000000"/>
              </w:pBdr>
              <w:bidi w:val="0"/>
              <w:spacing w:before="0" w:after="0"/>
              <w:jc w:val="left"/>
              <w:rPr/>
            </w:pPr>
            <w:r>
              <w:rPr/>
              <w:t> </w:t>
            </w:r>
          </w:p>
        </w:tc>
        <w:tc>
          <w:tcPr>
            <w:tcW w:w="1170"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0" w:type="dxa"/>
            <w:tcBorders/>
            <w:vAlign w:val="bottom"/>
          </w:tcPr>
          <w:p>
            <w:pPr>
              <w:pStyle w:val="TableContents"/>
              <w:pBdr>
                <w:top w:val="double" w:sz="6" w:space="1" w:color="000000"/>
              </w:pBdr>
              <w:bidi w:val="0"/>
              <w:spacing w:before="0" w:after="0"/>
              <w:jc w:val="left"/>
              <w:rPr/>
            </w:pPr>
            <w:r>
              <w:rPr/>
              <w:t> </w:t>
            </w:r>
          </w:p>
        </w:tc>
        <w:tc>
          <w:tcPr>
            <w:tcW w:w="1169"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Deferred tax asset and liabilities are determined based on the differences between the financial statement carrying amounts and tax bases of assets and liabilities using enacted tax rates in effect for the years in which differences are expected to 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Significant components of the Companys deferred taxes as of December 31, 2023 and 2022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94"/>
        <w:gridCol w:w="317"/>
        <w:gridCol w:w="140"/>
        <w:gridCol w:w="758"/>
        <w:gridCol w:w="155"/>
        <w:gridCol w:w="283"/>
        <w:gridCol w:w="140"/>
        <w:gridCol w:w="758"/>
        <w:gridCol w:w="160"/>
      </w:tblGrid>
      <w:tr>
        <w:trPr/>
        <w:tc>
          <w:tcPr>
            <w:tcW w:w="749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2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49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494"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18,482</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14,392</w:t>
            </w:r>
          </w:p>
        </w:tc>
        <w:tc>
          <w:tcPr>
            <w:tcW w:w="160" w:type="dxa"/>
            <w:tcBorders/>
            <w:vAlign w:val="bottom"/>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business credits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5,381</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3,444</w:t>
            </w:r>
          </w:p>
        </w:tc>
        <w:tc>
          <w:tcPr>
            <w:tcW w:w="160" w:type="dxa"/>
            <w:tcBorders/>
            <w:shd w:fill="CCEEFF" w:val="clear"/>
            <w:vAlign w:val="bottom"/>
          </w:tcPr>
          <w:p>
            <w:pPr>
              <w:pStyle w:val="TableContents"/>
              <w:bidi w:val="0"/>
              <w:spacing w:before="0" w:after="283"/>
              <w:jc w:val="left"/>
              <w:rPr/>
            </w:pPr>
            <w:r>
              <w:rPr/>
              <w:t> </w:t>
            </w:r>
          </w:p>
        </w:tc>
      </w:tr>
      <w:tr>
        <w:trPr/>
        <w:tc>
          <w:tcPr>
            <w:tcW w:w="7494"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temporary differences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2,358</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2,405</w:t>
            </w:r>
          </w:p>
        </w:tc>
        <w:tc>
          <w:tcPr>
            <w:tcW w:w="160" w:type="dxa"/>
            <w:tcBorders/>
            <w:vAlign w:val="bottom"/>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227</w:t>
            </w:r>
          </w:p>
        </w:tc>
        <w:tc>
          <w:tcPr>
            <w:tcW w:w="160" w:type="dxa"/>
            <w:tcBorders/>
            <w:shd w:fill="CCEEFF" w:val="clear"/>
            <w:vAlign w:val="bottom"/>
          </w:tcPr>
          <w:p>
            <w:pPr>
              <w:pStyle w:val="TableContents"/>
              <w:bidi w:val="0"/>
              <w:spacing w:before="0" w:after="283"/>
              <w:jc w:val="left"/>
              <w:rPr/>
            </w:pPr>
            <w:r>
              <w:rPr/>
              <w:t> </w:t>
            </w:r>
          </w:p>
        </w:tc>
      </w:tr>
      <w:tr>
        <w:trPr/>
        <w:tc>
          <w:tcPr>
            <w:tcW w:w="7494"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R&amp;D</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11,098</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6,354</w:t>
            </w:r>
          </w:p>
        </w:tc>
        <w:tc>
          <w:tcPr>
            <w:tcW w:w="160" w:type="dxa"/>
            <w:tcBorders/>
            <w:vAlign w:val="bottom"/>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r>
      <w:tr>
        <w:trPr/>
        <w:tc>
          <w:tcPr>
            <w:tcW w:w="749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914</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611</w:t>
            </w:r>
          </w:p>
        </w:tc>
        <w:tc>
          <w:tcPr>
            <w:tcW w:w="160" w:type="dxa"/>
            <w:tcBorders/>
            <w:vAlign w:val="bottom"/>
          </w:tcPr>
          <w:p>
            <w:pPr>
              <w:pStyle w:val="TableContents"/>
              <w:bidi w:val="0"/>
              <w:spacing w:before="0" w:after="283"/>
              <w:jc w:val="left"/>
              <w:rPr/>
            </w:pPr>
            <w:r>
              <w:rPr/>
              <w:t> </w:t>
            </w:r>
          </w:p>
        </w:tc>
      </w:tr>
      <w:tr>
        <w:trPr/>
        <w:tc>
          <w:tcPr>
            <w:tcW w:w="749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39,070</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27,443</w:t>
            </w:r>
          </w:p>
        </w:tc>
        <w:tc>
          <w:tcPr>
            <w:tcW w:w="160" w:type="dxa"/>
            <w:tcBorders/>
            <w:shd w:fill="CCEEFF" w:val="clear"/>
            <w:vAlign w:val="bottom"/>
          </w:tcPr>
          <w:p>
            <w:pPr>
              <w:pStyle w:val="TableContents"/>
              <w:bidi w:val="0"/>
              <w:spacing w:before="0" w:after="283"/>
              <w:jc w:val="left"/>
              <w:rPr/>
            </w:pPr>
            <w:r>
              <w:rPr/>
              <w:t> </w:t>
            </w:r>
          </w:p>
        </w:tc>
      </w:tr>
      <w:tr>
        <w:trPr/>
        <w:tc>
          <w:tcPr>
            <w:tcW w:w="7494" w:type="dxa"/>
            <w:tcBorders/>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(39,019</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(27,415</w:t>
            </w:r>
          </w:p>
        </w:tc>
        <w:tc>
          <w:tcPr>
            <w:tcW w:w="160" w:type="dxa"/>
            <w:tcBorders/>
            <w:vAlign w:val="bottom"/>
          </w:tcPr>
          <w:p>
            <w:pPr>
              <w:pStyle w:val="TableContents"/>
              <w:bidi w:val="0"/>
              <w:spacing w:before="0" w:after="283"/>
              <w:jc w:val="left"/>
              <w:rPr/>
            </w:pPr>
            <w:r>
              <w:rPr/>
              <w:t>) </w:t>
            </w:r>
          </w:p>
        </w:tc>
      </w:tr>
      <w:tr>
        <w:trPr/>
        <w:tc>
          <w:tcPr>
            <w:tcW w:w="749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28</w:t>
            </w:r>
          </w:p>
        </w:tc>
        <w:tc>
          <w:tcPr>
            <w:tcW w:w="160" w:type="dxa"/>
            <w:tcBorders/>
            <w:shd w:fill="CCEEFF" w:val="clear"/>
            <w:vAlign w:val="bottom"/>
          </w:tcPr>
          <w:p>
            <w:pPr>
              <w:pStyle w:val="TableContents"/>
              <w:bidi w:val="0"/>
              <w:spacing w:before="0" w:after="283"/>
              <w:jc w:val="left"/>
              <w:rPr/>
            </w:pPr>
            <w:r>
              <w:rPr/>
              <w:t> </w:t>
            </w:r>
          </w:p>
        </w:tc>
      </w:tr>
      <w:tr>
        <w:trPr/>
        <w:tc>
          <w:tcPr>
            <w:tcW w:w="7494"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(17</w:t>
            </w:r>
          </w:p>
        </w:tc>
        <w:tc>
          <w:tcPr>
            <w:tcW w:w="160" w:type="dxa"/>
            <w:tcBorders/>
            <w:shd w:fill="CCEEFF" w:val="clear"/>
            <w:vAlign w:val="bottom"/>
          </w:tcPr>
          <w:p>
            <w:pPr>
              <w:pStyle w:val="TableContents"/>
              <w:bidi w:val="0"/>
              <w:spacing w:before="0" w:after="283"/>
              <w:jc w:val="left"/>
              <w:rPr/>
            </w:pPr>
            <w:r>
              <w:rPr/>
              <w:t>) </w:t>
            </w:r>
          </w:p>
        </w:tc>
      </w:tr>
      <w:tr>
        <w:trPr/>
        <w:tc>
          <w:tcPr>
            <w:tcW w:w="7494" w:type="dxa"/>
            <w:tcBorders/>
          </w:tcPr>
          <w:p>
            <w:pPr>
              <w:pStyle w:val="TableContents"/>
              <w:bidi w:val="0"/>
              <w:spacing w:before="0" w:after="0"/>
              <w:jc w:val="left"/>
              <w:rPr>
                <w:rFonts w:ascii="Times New Roman" w:hAnsi="Times New Roman"/>
                <w:sz w:val="20"/>
              </w:rPr>
            </w:pPr>
            <w:r>
              <w:rPr>
                <w:rFonts w:ascii="Times New Roman" w:hAnsi="Times New Roman"/>
                <w:sz w:val="20"/>
              </w:rPr>
              <w:t>ROU Asset</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(11</w:t>
            </w:r>
          </w:p>
        </w:tc>
        <w:tc>
          <w:tcPr>
            <w:tcW w:w="160" w:type="dxa"/>
            <w:tcBorders/>
            <w:vAlign w:val="bottom"/>
          </w:tcPr>
          <w:p>
            <w:pPr>
              <w:pStyle w:val="TableContents"/>
              <w:bidi w:val="0"/>
              <w:spacing w:before="0" w:after="283"/>
              <w:jc w:val="left"/>
              <w:rPr/>
            </w:pPr>
            <w:r>
              <w:rPr/>
              <w:t>) </w:t>
            </w:r>
          </w:p>
        </w:tc>
      </w:tr>
      <w:tr>
        <w:trPr/>
        <w:tc>
          <w:tcPr>
            <w:tcW w:w="749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49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had U.S. federal and state operating loss carryforwards (NOL) of $83.8 and $13.4 million, respectively, at December 31, 2023. Net operating loss carryforwards of $3.8 and $12.5 million begin to expire in 2035 for federal and state income tax purposes respectively. Net operating loss carryforwards of $80.0 and $0.9 million for federal and state income tax purposes, respectively do not expire. The Company also had $0.1 million in foreign net operating loss carry forwards that do not expire. The Company had $4.3 million and $2.9 million in federal and state research and development credits, respectively, that begin to expire in 2038 for federal income tax purposes and that do not expire for state income tax purposes. The Company recorded a 100% valuation allowance against the net deferred tax assets as of December 31, 2023 and 2022 because realization is not more likely than not based on available positive and negative evidence. The change in valuation allowance was $11.6 million and $9.4 million as of December 31, 2023 and 2022,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Companys net operating losses and other tax attributes may be subject to limitation under Section 382 and 383 of the U.S. Internal Revenue Code of 1986, as amended (the Code), if the Company has undergone an ownership change. An ownership change is generally defined as a greater than 50 percentage point change (by value) in equity ownership by certain stockholders or groups of stockholders over a three-year period. It is possible that the Company has undergone one or more ownership changes in the past or may undergo one in the future. An ownership change limits the Companys ability to use pre-change net operating loss carryforwards and other pre-change tax attributes to offset post-change income. Similar provisions of state tax law may also apply to limit the use of state net operating losses and attributes.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has the following activity relating to the gross amount of unrecognized tax benefits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8"/>
        <w:gridCol w:w="245"/>
        <w:gridCol w:w="140"/>
        <w:gridCol w:w="560"/>
        <w:gridCol w:w="62"/>
      </w:tblGrid>
      <w:tr>
        <w:trPr/>
        <w:tc>
          <w:tcPr>
            <w:tcW w:w="9198"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2021</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1,547</w:t>
            </w:r>
          </w:p>
        </w:tc>
        <w:tc>
          <w:tcPr>
            <w:tcW w:w="62" w:type="dxa"/>
            <w:tcBorders/>
            <w:shd w:fill="CCEEFF" w:val="clear"/>
            <w:vAlign w:val="bottom"/>
          </w:tcPr>
          <w:p>
            <w:pPr>
              <w:pStyle w:val="TableContents"/>
              <w:bidi w:val="0"/>
              <w:spacing w:before="0" w:after="283"/>
              <w:jc w:val="left"/>
              <w:rPr/>
            </w:pPr>
            <w:r>
              <w:rPr/>
              <w:t> </w:t>
            </w:r>
          </w:p>
        </w:tc>
      </w:tr>
      <w:tr>
        <w:trPr/>
        <w:tc>
          <w:tcPr>
            <w:tcW w:w="9198" w:type="dxa"/>
            <w:tcBorders/>
          </w:tcPr>
          <w:p>
            <w:pPr>
              <w:pStyle w:val="TableContents"/>
              <w:bidi w:val="0"/>
              <w:spacing w:before="0" w:after="0"/>
              <w:jc w:val="left"/>
              <w:rPr>
                <w:rFonts w:ascii="Times New Roman" w:hAnsi="Times New Roman"/>
                <w:sz w:val="20"/>
              </w:rPr>
            </w:pPr>
            <w:r>
              <w:rPr>
                <w:rFonts w:ascii="Times New Roman" w:hAnsi="Times New Roman"/>
                <w:sz w:val="20"/>
              </w:rPr>
              <w:t>Increases related to 2022</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420</w:t>
            </w:r>
          </w:p>
        </w:tc>
        <w:tc>
          <w:tcPr>
            <w:tcW w:w="62" w:type="dxa"/>
            <w:tcBorders/>
            <w:vAlign w:val="bottom"/>
          </w:tcPr>
          <w:p>
            <w:pPr>
              <w:pStyle w:val="TableContents"/>
              <w:bidi w:val="0"/>
              <w:spacing w:before="0" w:after="283"/>
              <w:jc w:val="left"/>
              <w:rPr/>
            </w:pPr>
            <w:r>
              <w:rPr/>
              <w:t> </w:t>
            </w:r>
          </w:p>
        </w:tc>
      </w:tr>
      <w:tr>
        <w:trPr/>
        <w:tc>
          <w:tcPr>
            <w:tcW w:w="9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Increases related to prior periods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9198"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1,967</w:t>
            </w:r>
          </w:p>
        </w:tc>
        <w:tc>
          <w:tcPr>
            <w:tcW w:w="62" w:type="dxa"/>
            <w:tcBorders/>
            <w:vAlign w:val="bottom"/>
          </w:tcPr>
          <w:p>
            <w:pPr>
              <w:pStyle w:val="TableContents"/>
              <w:bidi w:val="0"/>
              <w:spacing w:before="0" w:after="283"/>
              <w:jc w:val="left"/>
              <w:rPr/>
            </w:pPr>
            <w:r>
              <w:rPr/>
              <w:t> </w:t>
            </w:r>
          </w:p>
        </w:tc>
      </w:tr>
      <w:tr>
        <w:trPr/>
        <w:tc>
          <w:tcPr>
            <w:tcW w:w="9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Increases related to 2023</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449</w:t>
            </w:r>
          </w:p>
        </w:tc>
        <w:tc>
          <w:tcPr>
            <w:tcW w:w="62" w:type="dxa"/>
            <w:tcBorders/>
            <w:shd w:fill="CCEEFF" w:val="clear"/>
            <w:vAlign w:val="bottom"/>
          </w:tcPr>
          <w:p>
            <w:pPr>
              <w:pStyle w:val="TableContents"/>
              <w:bidi w:val="0"/>
              <w:spacing w:before="0" w:after="283"/>
              <w:jc w:val="left"/>
              <w:rPr/>
            </w:pPr>
            <w:r>
              <w:rPr/>
              <w:t> </w:t>
            </w:r>
          </w:p>
        </w:tc>
      </w:tr>
      <w:tr>
        <w:trPr/>
        <w:tc>
          <w:tcPr>
            <w:tcW w:w="9198" w:type="dxa"/>
            <w:tcBorders/>
          </w:tcPr>
          <w:p>
            <w:pPr>
              <w:pStyle w:val="TableContents"/>
              <w:bidi w:val="0"/>
              <w:spacing w:before="0" w:after="0"/>
              <w:jc w:val="left"/>
              <w:rPr>
                <w:rFonts w:ascii="Times New Roman" w:hAnsi="Times New Roman"/>
                <w:sz w:val="20"/>
              </w:rPr>
            </w:pPr>
            <w:r>
              <w:rPr>
                <w:rFonts w:ascii="Times New Roman" w:hAnsi="Times New Roman"/>
                <w:sz w:val="20"/>
              </w:rPr>
              <w:t>Increases related to prior periods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91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2023</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2,483</w:t>
            </w:r>
          </w:p>
        </w:tc>
        <w:tc>
          <w:tcPr>
            <w:tcW w:w="62" w:type="dxa"/>
            <w:tcBorders/>
            <w:shd w:fill="CCEEFF" w:val="clear"/>
            <w:vAlign w:val="bottom"/>
          </w:tcPr>
          <w:p>
            <w:pPr>
              <w:pStyle w:val="TableContents"/>
              <w:bidi w:val="0"/>
              <w:spacing w:before="0" w:after="283"/>
              <w:jc w:val="left"/>
              <w:rPr/>
            </w:pPr>
            <w:r>
              <w:rPr/>
              <w:t> </w:t>
            </w:r>
          </w:p>
        </w:tc>
      </w:tr>
      <w:tr>
        <w:trPr/>
        <w:tc>
          <w:tcPr>
            <w:tcW w:w="9198"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December 31, 2023 and 2022, the Company had gross unrecognized tax benefits of $2.5 million and $2.0 million, respectively. None of the unrecognized benefit at December 31, 2023 would impact the effective tax rate if recognized. The Company does not anticipate any significant changes to unrecognized tax benefits over the next 12 months. </w:t>
      </w:r>
    </w:p>
    <w:p>
      <w:pPr>
        <w:pStyle w:val="TextBody"/>
        <w:bidi w:val="0"/>
        <w:spacing w:before="240" w:after="0"/>
        <w:jc w:val="both"/>
        <w:rPr>
          <w:rFonts w:ascii="Times New Roman" w:hAnsi="Times New Roman"/>
          <w:sz w:val="20"/>
        </w:rPr>
      </w:pPr>
      <w:r>
        <w:rPr>
          <w:rFonts w:ascii="Times New Roman" w:hAnsi="Times New Roman"/>
          <w:sz w:val="20"/>
        </w:rPr>
        <w:t xml:space="preserve">The Company accounts for interest and penalties related to uncertain tax positions as part of its provision for income taxes. No amounts were accrued for the payment of interest and penalties as December 31, 2023 or 2022. </w:t>
      </w:r>
    </w:p>
    <w:p>
      <w:pPr>
        <w:pStyle w:val="TextBody"/>
        <w:bidi w:val="0"/>
        <w:spacing w:before="240" w:after="0"/>
        <w:jc w:val="both"/>
        <w:rPr>
          <w:rFonts w:ascii="Times New Roman" w:hAnsi="Times New Roman"/>
          <w:sz w:val="20"/>
        </w:rPr>
      </w:pPr>
      <w:r>
        <w:rPr>
          <w:rFonts w:ascii="Times New Roman" w:hAnsi="Times New Roman"/>
          <w:sz w:val="20"/>
        </w:rPr>
        <w:t xml:space="preserve">All years of the Company are open to examination by federal, state and foreign tax authorities. The Company has not been informed by any tax authorities for any jurisdiction that any of its tax years is under examination as of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Note 11. 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computation of the basic and diluted net loss per share attributable to common stockholders (in thousands except for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(63,854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(39,722</w:t>
            </w:r>
          </w:p>
        </w:tc>
        <w:tc>
          <w:tcPr>
            <w:tcW w:w="159" w:type="dxa"/>
            <w:tcBorders/>
            <w:vAlign w:val="bottom"/>
          </w:tcPr>
          <w:p>
            <w:pPr>
              <w:pStyle w:val="TableContents"/>
              <w:bidi w:val="0"/>
              <w:spacing w:before="0" w:after="283"/>
              <w:jc w:val="left"/>
              <w:rPr/>
            </w:pPr>
            <w:r>
              <w:rPr/>
              <w:t>)</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w:t>
            </w:r>
          </w:p>
          <w:p>
            <w:pPr>
              <w:pStyle w:val="TableContents"/>
              <w:bidi w:val="0"/>
              <w:spacing w:before="0" w:after="0"/>
              <w:jc w:val="left"/>
              <w:rPr>
                <w:rFonts w:ascii="Times New Roman" w:hAnsi="Times New Roman"/>
                <w:sz w:val="20"/>
              </w:rPr>
            </w:pPr>
            <w:r>
              <w:rPr>
                <w:rFonts w:ascii="Times New Roman" w:hAnsi="Times New Roman"/>
                <w:sz w:val="20"/>
              </w:rPr>
              <w:t>used to compute net loss per share attributable to common</w:t>
            </w:r>
          </w:p>
          <w:p>
            <w:pPr>
              <w:pStyle w:val="TableContents"/>
              <w:bidi w:val="0"/>
              <w:spacing w:before="0" w:after="20"/>
              <w:jc w:val="left"/>
              <w:rPr>
                <w:rFonts w:ascii="Times New Roman" w:hAnsi="Times New Roman"/>
                <w:sz w:val="20"/>
              </w:rPr>
            </w:pPr>
            <w:r>
              <w:rPr>
                <w:rFonts w:ascii="Times New Roman" w:hAnsi="Times New Roman"/>
                <w:sz w:val="20"/>
              </w:rPr>
              <w:t>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1,672,793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1,671,761</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(38.17</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(23.76</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Companys potentially dilutive securities have been excluded from the computation of diluted net loss per share attributable to common stockholders as the effect would be antidilutive. Therefore, the weighted-average number of shares of common stock outstanding used to calculate both basic and diluted net loss per share attributable to common stockholders is the same. Potentially dilutive securities that were not included in the diluted per share calculations because they would be anti-dilutive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9"/>
        <w:gridCol w:w="121"/>
        <w:gridCol w:w="60"/>
        <w:gridCol w:w="980"/>
        <w:gridCol w:w="60"/>
        <w:gridCol w:w="121"/>
        <w:gridCol w:w="60"/>
        <w:gridCol w:w="980"/>
        <w:gridCol w:w="64"/>
      </w:tblGrid>
      <w:tr>
        <w:trPr/>
        <w:tc>
          <w:tcPr>
            <w:tcW w:w="7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5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775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7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redeemable convertible preferred stock on an as if converted basis</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1,065,172</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1,065,172</w:t>
            </w:r>
          </w:p>
        </w:tc>
        <w:tc>
          <w:tcPr>
            <w:tcW w:w="64" w:type="dxa"/>
            <w:tcBorders/>
            <w:shd w:fill="CCEEFF" w:val="clear"/>
            <w:vAlign w:val="bottom"/>
          </w:tcPr>
          <w:p>
            <w:pPr>
              <w:pStyle w:val="TableContents"/>
              <w:bidi w:val="0"/>
              <w:spacing w:before="0" w:after="283"/>
              <w:jc w:val="left"/>
              <w:rPr/>
            </w:pPr>
            <w:r>
              <w:rPr/>
              <w:t> </w:t>
            </w:r>
          </w:p>
        </w:tc>
      </w:tr>
      <w:tr>
        <w:trPr/>
        <w:tc>
          <w:tcPr>
            <w:tcW w:w="7759" w:type="dxa"/>
            <w:tcBorders/>
          </w:tcPr>
          <w:p>
            <w:pPr>
              <w:pStyle w:val="TableContents"/>
              <w:bidi w:val="0"/>
              <w:spacing w:before="0" w:after="0"/>
              <w:jc w:val="left"/>
              <w:rPr>
                <w:rFonts w:ascii="Times New Roman" w:hAnsi="Times New Roman"/>
                <w:sz w:val="20"/>
              </w:rPr>
            </w:pPr>
            <w:r>
              <w:rPr>
                <w:rFonts w:ascii="Times New Roman" w:hAnsi="Times New Roman"/>
                <w:sz w:val="20"/>
              </w:rPr>
              <w:t>Series A-2 redeemable convertible preferred stock on an as if converted basis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660,615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660,615</w:t>
            </w:r>
          </w:p>
        </w:tc>
        <w:tc>
          <w:tcPr>
            <w:tcW w:w="64" w:type="dxa"/>
            <w:tcBorders/>
            <w:vAlign w:val="bottom"/>
          </w:tcPr>
          <w:p>
            <w:pPr>
              <w:pStyle w:val="TableContents"/>
              <w:bidi w:val="0"/>
              <w:spacing w:before="0" w:after="283"/>
              <w:jc w:val="left"/>
              <w:rPr/>
            </w:pPr>
            <w:r>
              <w:rPr/>
              <w:t> </w:t>
            </w:r>
          </w:p>
        </w:tc>
      </w:tr>
      <w:tr>
        <w:trPr/>
        <w:tc>
          <w:tcPr>
            <w:tcW w:w="7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A-3 redeemable convertible preferred stock on an as if converted basis</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45,673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45,673</w:t>
            </w:r>
          </w:p>
        </w:tc>
        <w:tc>
          <w:tcPr>
            <w:tcW w:w="64" w:type="dxa"/>
            <w:tcBorders/>
            <w:shd w:fill="CCEEFF" w:val="clear"/>
            <w:vAlign w:val="bottom"/>
          </w:tcPr>
          <w:p>
            <w:pPr>
              <w:pStyle w:val="TableContents"/>
              <w:bidi w:val="0"/>
              <w:spacing w:before="0" w:after="283"/>
              <w:jc w:val="left"/>
              <w:rPr/>
            </w:pPr>
            <w:r>
              <w:rPr/>
              <w:t> </w:t>
            </w:r>
          </w:p>
        </w:tc>
      </w:tr>
      <w:tr>
        <w:trPr/>
        <w:tc>
          <w:tcPr>
            <w:tcW w:w="7759" w:type="dxa"/>
            <w:tcBorders/>
          </w:tcPr>
          <w:p>
            <w:pPr>
              <w:pStyle w:val="TableContents"/>
              <w:bidi w:val="0"/>
              <w:spacing w:before="0" w:after="0"/>
              <w:jc w:val="left"/>
              <w:rPr>
                <w:rFonts w:ascii="Times New Roman" w:hAnsi="Times New Roman"/>
                <w:sz w:val="20"/>
              </w:rPr>
            </w:pPr>
            <w:r>
              <w:rPr>
                <w:rFonts w:ascii="Times New Roman" w:hAnsi="Times New Roman"/>
                <w:sz w:val="20"/>
              </w:rPr>
              <w:t>Series A-4 redeemable convertible preferred stock on an as if converted basis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6,194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6,194</w:t>
            </w:r>
          </w:p>
        </w:tc>
        <w:tc>
          <w:tcPr>
            <w:tcW w:w="64" w:type="dxa"/>
            <w:tcBorders/>
            <w:vAlign w:val="bottom"/>
          </w:tcPr>
          <w:p>
            <w:pPr>
              <w:pStyle w:val="TableContents"/>
              <w:bidi w:val="0"/>
              <w:spacing w:before="0" w:after="283"/>
              <w:jc w:val="left"/>
              <w:rPr/>
            </w:pPr>
            <w:r>
              <w:rPr/>
              <w:t> </w:t>
            </w:r>
          </w:p>
        </w:tc>
      </w:tr>
      <w:tr>
        <w:trPr/>
        <w:tc>
          <w:tcPr>
            <w:tcW w:w="7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redeemable convertible preferred stock on an as if converted basis</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1,670,599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1,670,599</w:t>
            </w:r>
          </w:p>
        </w:tc>
        <w:tc>
          <w:tcPr>
            <w:tcW w:w="64" w:type="dxa"/>
            <w:tcBorders/>
            <w:shd w:fill="CCEEFF" w:val="clear"/>
            <w:vAlign w:val="bottom"/>
          </w:tcPr>
          <w:p>
            <w:pPr>
              <w:pStyle w:val="TableContents"/>
              <w:bidi w:val="0"/>
              <w:spacing w:before="0" w:after="283"/>
              <w:jc w:val="left"/>
              <w:rPr/>
            </w:pPr>
            <w:r>
              <w:rPr/>
              <w:t> </w:t>
            </w:r>
          </w:p>
        </w:tc>
      </w:tr>
      <w:tr>
        <w:trPr/>
        <w:tc>
          <w:tcPr>
            <w:tcW w:w="7759" w:type="dxa"/>
            <w:tcBorders/>
          </w:tcPr>
          <w:p>
            <w:pPr>
              <w:pStyle w:val="TableContents"/>
              <w:bidi w:val="0"/>
              <w:spacing w:before="0" w:after="0"/>
              <w:jc w:val="left"/>
              <w:rPr>
                <w:rFonts w:ascii="Times New Roman" w:hAnsi="Times New Roman"/>
                <w:sz w:val="20"/>
              </w:rPr>
            </w:pPr>
            <w:r>
              <w:rPr>
                <w:rFonts w:ascii="Times New Roman" w:hAnsi="Times New Roman"/>
                <w:sz w:val="20"/>
              </w:rPr>
              <w:t>Series C redeemable convertible preferred stock on an as if converted basis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3,602,572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3,602,572</w:t>
            </w:r>
          </w:p>
        </w:tc>
        <w:tc>
          <w:tcPr>
            <w:tcW w:w="64" w:type="dxa"/>
            <w:tcBorders/>
            <w:vAlign w:val="bottom"/>
          </w:tcPr>
          <w:p>
            <w:pPr>
              <w:pStyle w:val="TableContents"/>
              <w:bidi w:val="0"/>
              <w:spacing w:before="0" w:after="283"/>
              <w:jc w:val="left"/>
              <w:rPr/>
            </w:pPr>
            <w:r>
              <w:rPr/>
              <w:t> </w:t>
            </w:r>
          </w:p>
        </w:tc>
      </w:tr>
      <w:tr>
        <w:trPr/>
        <w:tc>
          <w:tcPr>
            <w:tcW w:w="7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issued and outstanding</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2,364,083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1,944,796</w:t>
            </w:r>
          </w:p>
        </w:tc>
        <w:tc>
          <w:tcPr>
            <w:tcW w:w="64" w:type="dxa"/>
            <w:tcBorders/>
            <w:shd w:fill="CCEEFF" w:val="clear"/>
            <w:vAlign w:val="bottom"/>
          </w:tcPr>
          <w:p>
            <w:pPr>
              <w:pStyle w:val="TableContents"/>
              <w:bidi w:val="0"/>
              <w:spacing w:before="0" w:after="283"/>
              <w:jc w:val="left"/>
              <w:rPr/>
            </w:pPr>
            <w:r>
              <w:rPr/>
              <w:t> </w:t>
            </w:r>
          </w:p>
        </w:tc>
      </w:tr>
      <w:tr>
        <w:trPr/>
        <w:tc>
          <w:tcPr>
            <w:tcW w:w="7759"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stock</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31,690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26,142</w:t>
            </w:r>
          </w:p>
        </w:tc>
        <w:tc>
          <w:tcPr>
            <w:tcW w:w="64" w:type="dxa"/>
            <w:tcBorders/>
            <w:vAlign w:val="bottom"/>
          </w:tcPr>
          <w:p>
            <w:pPr>
              <w:pStyle w:val="TableContents"/>
              <w:bidi w:val="0"/>
              <w:spacing w:before="0" w:after="283"/>
              <w:jc w:val="left"/>
              <w:rPr/>
            </w:pPr>
            <w:r>
              <w:rPr/>
              <w:t> </w:t>
            </w:r>
          </w:p>
        </w:tc>
      </w:tr>
      <w:tr>
        <w:trPr/>
        <w:tc>
          <w:tcPr>
            <w:tcW w:w="775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9,446,598</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9,021,763</w:t>
            </w:r>
          </w:p>
        </w:tc>
        <w:tc>
          <w:tcPr>
            <w:tcW w:w="64" w:type="dxa"/>
            <w:tcBorders/>
            <w:shd w:fill="CCEEFF" w:val="clear"/>
            <w:vAlign w:val="bottom"/>
          </w:tcPr>
          <w:p>
            <w:pPr>
              <w:pStyle w:val="TableContents"/>
              <w:bidi w:val="0"/>
              <w:spacing w:before="0" w:after="283"/>
              <w:jc w:val="left"/>
              <w:rPr/>
            </w:pPr>
            <w:r>
              <w:rPr/>
              <w:t> </w:t>
            </w:r>
          </w:p>
        </w:tc>
      </w:tr>
      <w:tr>
        <w:trPr/>
        <w:tc>
          <w:tcPr>
            <w:tcW w:w="775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12. Subsequent Events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evaluated subsequent events from December 31, 2023 through May 31, 2024 (except for the effect of the reverse stock split discussed in Note 12E below), the date these consolidated financial statements were available to be re issued, and has not identified any items requiring disclosure except as noted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3"/>
        <w:gridCol w:w="9290"/>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January 2024, the Company amended its 2015 Equity Incentive Plan and increased the total number of shares authorized under the Plan to 5,954,650.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February 2024, the Company issued 49,713,402 shares of its Series D redeemable convertible preferred stock at $3.4196 per share for gross proceeds of $170.0 million. Simultaneously with the closing of this Series D redeemable convertible preferred stock financing, the Convertible Promissory Notes (including accrued interest) and derivative liability converted into 11,887,535 shares of the Companys Series D-1 redeemable convertible preferred stock at a discount factor of 0.6 relative to the price paid by the Series 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March 2024, the Company entered into an amendment to the Richmond Lease which extended the term from August 2024 to August 2025 and increased future minimum lease payments by $0.3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April 2024, the Board of Directors approved the grant of 2,139,025 options to purchase shares of the Companys common stock to employees, officers, board members, and advisors under the 2015 Equity Incentive Plan. The options vest over three- and four-year periods and have an exercise price of $8.39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E</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September 17, 2024, the Company effected the Reverse Stock Split, pursuant to which every 4.4626 shares of the Companys common stock issued or outstanding were automatically reclassified into one new share of common stock, subject to the treatment of fractional shares as previously described, without any action on the part of the holders. For a description of the Reverse Stock Split, refer to Note 2, </w:t>
            </w:r>
            <w:r>
              <w:rPr>
                <w:rFonts w:ascii="Times New Roman" w:hAnsi="Times New Roman"/>
                <w:i/>
                <w:sz w:val="20"/>
              </w:rPr>
              <w:t>Nature of Business and LiquiditySummary of Significant Accounting Principles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fin835745_7"/>
      <w:bookmarkEnd w:id="31"/>
      <w:r>
        <w:rPr>
          <w:rFonts w:ascii="Times New Roman" w:hAnsi="Times New Roman"/>
          <w:b/>
          <w:sz w:val="20"/>
        </w:rPr>
        <w:t xml:space="preserve">BIOAGE LABS, INC.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91"/>
        <w:gridCol w:w="526"/>
        <w:gridCol w:w="195"/>
        <w:gridCol w:w="1245"/>
        <w:gridCol w:w="155"/>
        <w:gridCol w:w="477"/>
        <w:gridCol w:w="269"/>
        <w:gridCol w:w="1689"/>
        <w:gridCol w:w="158"/>
      </w:tblGrid>
      <w:tr>
        <w:trPr/>
        <w:tc>
          <w:tcPr>
            <w:tcW w:w="5491" w:type="dxa"/>
            <w:tcBorders/>
            <w:vAlign w:val="center"/>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91"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2024</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68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159,085</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689" w:type="dxa"/>
            <w:tcBorders/>
            <w:shd w:fill="CCEEFF" w:val="clear"/>
            <w:vAlign w:val="bottom"/>
          </w:tcPr>
          <w:p>
            <w:pPr>
              <w:pStyle w:val="TableContents"/>
              <w:bidi w:val="0"/>
              <w:spacing w:before="0" w:after="283"/>
              <w:jc w:val="right"/>
              <w:rPr/>
            </w:pPr>
            <w:r>
              <w:rPr/>
              <w:t>21,644</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3,313</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4,567</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349</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163,652</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25,306</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100</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323</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right-of-use asset, net</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340</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195</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164,402</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689" w:type="dxa"/>
            <w:tcBorders/>
            <w:shd w:fill="CCEEFF" w:val="clear"/>
            <w:vAlign w:val="bottom"/>
          </w:tcPr>
          <w:p>
            <w:pPr>
              <w:pStyle w:val="TableContents"/>
              <w:bidi w:val="0"/>
              <w:spacing w:before="0" w:after="283"/>
              <w:jc w:val="right"/>
              <w:rPr/>
            </w:pPr>
            <w:r>
              <w:rPr/>
              <w:t>25,924</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68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68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1,465</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689" w:type="dxa"/>
            <w:tcBorders/>
            <w:vAlign w:val="bottom"/>
          </w:tcPr>
          <w:p>
            <w:pPr>
              <w:pStyle w:val="TableContents"/>
              <w:bidi w:val="0"/>
              <w:spacing w:before="0" w:after="283"/>
              <w:jc w:val="right"/>
              <w:rPr/>
            </w:pPr>
            <w:r>
              <w:rPr/>
              <w:t>1,866</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5,218</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7,938</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term loan</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6,000</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6,000</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298</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194</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notes</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20,674</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notes embedded derivative liability</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18,183</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Deferred grant income</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3,313</w:t>
            </w:r>
          </w:p>
        </w:tc>
        <w:tc>
          <w:tcPr>
            <w:tcW w:w="158" w:type="dxa"/>
            <w:tcBorders/>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12,981</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58,168</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5,371</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8,201</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307</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229</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18,702</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66,598</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par value of $0.00001; 93,066,066 and 31,634,362 shares authorized as of June 30, 2024 and December 31, 2023; 93,066,065 and 31,465,128 shares issued and outstanding as of June 30, 2024 and December 31, 2023; aggregate liquidation preference of $326,255 and $131,864 as of June 30, 2024 and December 31, 2023</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342,831</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132,722</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Commitments and Contingencies (note 8)</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68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68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132,700,000 and 52,400,000 shares authorized as of June 30, 2024 and December 31, 2023; 1,723,664 and 1,673,314 shares issued and outstanding as of June 30, 2024 and December 31, 2023, respectively</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10,977</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8,142</w:t>
            </w:r>
          </w:p>
        </w:tc>
        <w:tc>
          <w:tcPr>
            <w:tcW w:w="158" w:type="dxa"/>
            <w:tcBorders/>
            <w:vAlign w:val="bottom"/>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164</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(208,275</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89" w:type="dxa"/>
            <w:tcBorders/>
            <w:vAlign w:val="bottom"/>
          </w:tcPr>
          <w:p>
            <w:pPr>
              <w:pStyle w:val="TableContents"/>
              <w:bidi w:val="0"/>
              <w:spacing w:before="0" w:after="283"/>
              <w:jc w:val="right"/>
              <w:rPr/>
            </w:pPr>
            <w:r>
              <w:rPr/>
              <w:t>(181,702</w:t>
            </w:r>
          </w:p>
        </w:tc>
        <w:tc>
          <w:tcPr>
            <w:tcW w:w="158" w:type="dxa"/>
            <w:tcBorders/>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5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(197,131</w:t>
            </w:r>
          </w:p>
        </w:tc>
        <w:tc>
          <w:tcPr>
            <w:tcW w:w="155"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689" w:type="dxa"/>
            <w:tcBorders/>
            <w:shd w:fill="CCEEFF" w:val="clear"/>
            <w:vAlign w:val="bottom"/>
          </w:tcPr>
          <w:p>
            <w:pPr>
              <w:pStyle w:val="TableContents"/>
              <w:bidi w:val="0"/>
              <w:spacing w:before="0" w:after="283"/>
              <w:jc w:val="right"/>
              <w:rPr/>
            </w:pPr>
            <w:r>
              <w:rPr/>
              <w:t>(173,396</w:t>
            </w:r>
          </w:p>
        </w:tc>
        <w:tc>
          <w:tcPr>
            <w:tcW w:w="158" w:type="dxa"/>
            <w:tcBorders/>
            <w:shd w:fill="CCEEFF" w:val="clear"/>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68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491"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164,402</w:t>
            </w:r>
          </w:p>
        </w:tc>
        <w:tc>
          <w:tcPr>
            <w:tcW w:w="155"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689" w:type="dxa"/>
            <w:tcBorders/>
            <w:vAlign w:val="bottom"/>
          </w:tcPr>
          <w:p>
            <w:pPr>
              <w:pStyle w:val="TableContents"/>
              <w:bidi w:val="0"/>
              <w:spacing w:before="0" w:after="283"/>
              <w:jc w:val="right"/>
              <w:rPr/>
            </w:pPr>
            <w:r>
              <w:rPr/>
              <w:t>25,924</w:t>
            </w:r>
          </w:p>
        </w:tc>
        <w:tc>
          <w:tcPr>
            <w:tcW w:w="158" w:type="dxa"/>
            <w:tcBorders/>
            <w:vAlign w:val="bottom"/>
          </w:tcPr>
          <w:p>
            <w:pPr>
              <w:pStyle w:val="TableContents"/>
              <w:bidi w:val="0"/>
              <w:spacing w:before="0" w:after="283"/>
              <w:jc w:val="left"/>
              <w:rPr/>
            </w:pPr>
            <w:r>
              <w:rPr/>
              <w:t> </w:t>
            </w:r>
          </w:p>
        </w:tc>
      </w:tr>
      <w:tr>
        <w:trPr/>
        <w:tc>
          <w:tcPr>
            <w:tcW w:w="5491" w:type="dxa"/>
            <w:tcBorders/>
            <w:vAlign w:val="bottom"/>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68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fin835745_8"/>
      <w:bookmarkEnd w:id="32"/>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73"/>
        <w:gridCol w:w="147"/>
        <w:gridCol w:w="72"/>
        <w:gridCol w:w="1238"/>
        <w:gridCol w:w="187"/>
        <w:gridCol w:w="118"/>
        <w:gridCol w:w="72"/>
        <w:gridCol w:w="1239"/>
        <w:gridCol w:w="159"/>
      </w:tblGrid>
      <w:tr>
        <w:trPr/>
        <w:tc>
          <w:tcPr>
            <w:tcW w:w="6973"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7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926" w:type="dxa"/>
            <w:gridSpan w:val="6"/>
            <w:tcBorders/>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19,792</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17,272</w:t>
            </w:r>
          </w:p>
        </w:tc>
        <w:tc>
          <w:tcPr>
            <w:tcW w:w="159" w:type="dxa"/>
            <w:tcBorders/>
            <w:vAlign w:val="bottom"/>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8,290</w:t>
            </w:r>
          </w:p>
        </w:tc>
        <w:tc>
          <w:tcPr>
            <w:tcW w:w="18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7,645</w:t>
            </w:r>
          </w:p>
        </w:tc>
        <w:tc>
          <w:tcPr>
            <w:tcW w:w="159" w:type="dxa"/>
            <w:tcBorders/>
            <w:shd w:fill="CCEEFF" w:val="clear"/>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28,082</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24,917</w:t>
            </w:r>
          </w:p>
        </w:tc>
        <w:tc>
          <w:tcPr>
            <w:tcW w:w="159" w:type="dxa"/>
            <w:tcBorders/>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(28,082</w:t>
            </w:r>
          </w:p>
        </w:tc>
        <w:tc>
          <w:tcPr>
            <w:tcW w:w="18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(24,917</w:t>
            </w:r>
          </w:p>
        </w:tc>
        <w:tc>
          <w:tcPr>
            <w:tcW w:w="159" w:type="dxa"/>
            <w:tcBorders/>
            <w:shd w:fill="CCEEFF" w:val="clear"/>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(1,660</w:t>
            </w:r>
          </w:p>
        </w:tc>
        <w:tc>
          <w:tcPr>
            <w:tcW w:w="18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(2,832</w:t>
            </w:r>
          </w:p>
        </w:tc>
        <w:tc>
          <w:tcPr>
            <w:tcW w:w="159" w:type="dxa"/>
            <w:tcBorders/>
            <w:shd w:fill="CCEEFF" w:val="clear"/>
            <w:vAlign w:val="bottom"/>
          </w:tcPr>
          <w:p>
            <w:pPr>
              <w:pStyle w:val="TableContents"/>
              <w:bidi w:val="0"/>
              <w:spacing w:before="0" w:after="283"/>
              <w:jc w:val="left"/>
              <w:rPr/>
            </w:pPr>
            <w:r>
              <w:rPr/>
              <w:t>) </w:t>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3,497</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1,553</w:t>
            </w:r>
          </w:p>
        </w:tc>
        <w:tc>
          <w:tcPr>
            <w:tcW w:w="159" w:type="dxa"/>
            <w:tcBorders/>
            <w:vAlign w:val="bottom"/>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changes in fair value on warrants and derivative liabilities</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(78</w:t>
            </w:r>
          </w:p>
        </w:tc>
        <w:tc>
          <w:tcPr>
            <w:tcW w:w="18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(2,075</w:t>
            </w:r>
          </w:p>
        </w:tc>
        <w:tc>
          <w:tcPr>
            <w:tcW w:w="159" w:type="dxa"/>
            <w:tcBorders/>
            <w:shd w:fill="CCEEFF" w:val="clear"/>
            <w:vAlign w:val="bottom"/>
          </w:tcPr>
          <w:p>
            <w:pPr>
              <w:pStyle w:val="TableContents"/>
              <w:bidi w:val="0"/>
              <w:spacing w:before="0" w:after="283"/>
              <w:jc w:val="left"/>
              <w:rPr/>
            </w:pPr>
            <w:r>
              <w:rPr/>
              <w:t>) </w:t>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promissory notes</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(250</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1,509</w:t>
            </w:r>
          </w:p>
        </w:tc>
        <w:tc>
          <w:tcPr>
            <w:tcW w:w="18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(3,354</w:t>
            </w:r>
          </w:p>
        </w:tc>
        <w:tc>
          <w:tcPr>
            <w:tcW w:w="159" w:type="dxa"/>
            <w:tcBorders/>
            <w:shd w:fill="CCEEFF" w:val="clear"/>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(26,573</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(28,271</w:t>
            </w:r>
          </w:p>
        </w:tc>
        <w:tc>
          <w:tcPr>
            <w:tcW w:w="159" w:type="dxa"/>
            <w:tcBorders/>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(15.70</w:t>
            </w:r>
          </w:p>
        </w:tc>
        <w:tc>
          <w:tcPr>
            <w:tcW w:w="18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(16.90</w:t>
            </w:r>
          </w:p>
        </w:tc>
        <w:tc>
          <w:tcPr>
            <w:tcW w:w="159" w:type="dxa"/>
            <w:tcBorders/>
            <w:shd w:fill="CCEEFF" w:val="clear"/>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1,692,238</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1,672,697</w:t>
            </w:r>
          </w:p>
        </w:tc>
        <w:tc>
          <w:tcPr>
            <w:tcW w:w="159" w:type="dxa"/>
            <w:tcBorders/>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854" w:type="dxa"/>
            <w:gridSpan w:val="5"/>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(26,573</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(28,271</w:t>
            </w:r>
          </w:p>
        </w:tc>
        <w:tc>
          <w:tcPr>
            <w:tcW w:w="159" w:type="dxa"/>
            <w:tcBorders/>
            <w:vAlign w:val="bottom"/>
          </w:tcPr>
          <w:p>
            <w:pPr>
              <w:pStyle w:val="TableContents"/>
              <w:bidi w:val="0"/>
              <w:spacing w:before="0" w:after="283"/>
              <w:jc w:val="left"/>
              <w:rPr/>
            </w:pPr>
            <w:r>
              <w:rPr/>
              <w:t>) </w:t>
            </w:r>
          </w:p>
        </w:tc>
      </w:tr>
      <w:tr>
        <w:trPr/>
        <w:tc>
          <w:tcPr>
            <w:tcW w:w="6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w:t>
            </w:r>
          </w:p>
        </w:tc>
        <w:tc>
          <w:tcPr>
            <w:tcW w:w="187"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32</w:t>
            </w:r>
          </w:p>
        </w:tc>
        <w:tc>
          <w:tcPr>
            <w:tcW w:w="159" w:type="dxa"/>
            <w:tcBorders/>
            <w:shd w:fill="CCEEFF" w:val="clear"/>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73"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(26,570</w:t>
            </w:r>
          </w:p>
        </w:tc>
        <w:tc>
          <w:tcPr>
            <w:tcW w:w="18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(28,239</w:t>
            </w:r>
          </w:p>
        </w:tc>
        <w:tc>
          <w:tcPr>
            <w:tcW w:w="159" w:type="dxa"/>
            <w:tcBorders/>
            <w:vAlign w:val="bottom"/>
          </w:tcPr>
          <w:p>
            <w:pPr>
              <w:pStyle w:val="TableContents"/>
              <w:bidi w:val="0"/>
              <w:spacing w:before="0" w:after="283"/>
              <w:jc w:val="left"/>
              <w:rPr/>
            </w:pPr>
            <w:r>
              <w:rPr/>
              <w:t>) </w:t>
            </w:r>
          </w:p>
        </w:tc>
      </w:tr>
      <w:tr>
        <w:trPr/>
        <w:tc>
          <w:tcPr>
            <w:tcW w:w="6973"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fin835745_9"/>
      <w:bookmarkEnd w:id="33"/>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Statements of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information) </w:t>
      </w:r>
    </w:p>
    <w:p>
      <w:pPr>
        <w:pStyle w:val="TextBody"/>
        <w:bidi w:val="0"/>
        <w:spacing w:before="0" w:after="0"/>
        <w:jc w:val="left"/>
        <w:rPr/>
      </w:pPr>
      <w:r>
        <w:rPr/>
        <w:t> </w:t>
      </w:r>
    </w:p>
    <w:tbl>
      <w:tblPr>
        <w:tblW w:w="12950" w:type="dxa"/>
        <w:jc w:val="center"/>
        <w:tblInd w:w="0" w:type="dxa"/>
        <w:tblLayout w:type="fixed"/>
        <w:tblCellMar>
          <w:top w:w="0" w:type="dxa"/>
          <w:left w:w="0" w:type="dxa"/>
          <w:bottom w:w="0" w:type="dxa"/>
          <w:right w:w="0" w:type="dxa"/>
        </w:tblCellMar>
      </w:tblPr>
      <w:tblGrid>
        <w:gridCol w:w="1160"/>
        <w:gridCol w:w="60"/>
        <w:gridCol w:w="60"/>
        <w:gridCol w:w="1340"/>
        <w:gridCol w:w="60"/>
        <w:gridCol w:w="60"/>
        <w:gridCol w:w="158"/>
        <w:gridCol w:w="1182"/>
        <w:gridCol w:w="60"/>
        <w:gridCol w:w="60"/>
        <w:gridCol w:w="60"/>
        <w:gridCol w:w="1220"/>
        <w:gridCol w:w="60"/>
        <w:gridCol w:w="60"/>
        <w:gridCol w:w="140"/>
        <w:gridCol w:w="740"/>
        <w:gridCol w:w="60"/>
        <w:gridCol w:w="60"/>
        <w:gridCol w:w="140"/>
        <w:gridCol w:w="1280"/>
        <w:gridCol w:w="60"/>
        <w:gridCol w:w="60"/>
        <w:gridCol w:w="181"/>
        <w:gridCol w:w="1429"/>
        <w:gridCol w:w="60"/>
        <w:gridCol w:w="60"/>
        <w:gridCol w:w="188"/>
        <w:gridCol w:w="1182"/>
        <w:gridCol w:w="155"/>
        <w:gridCol w:w="60"/>
        <w:gridCol w:w="184"/>
        <w:gridCol w:w="1156"/>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2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0" w:type="dxa"/>
            <w:gridSpan w:val="6"/>
            <w:tcBorders/>
            <w:vAlign w:val="bottom"/>
          </w:tcPr>
          <w:p>
            <w:pPr>
              <w:pStyle w:val="TableContents"/>
              <w:bidi w:val="0"/>
              <w:spacing w:before="0" w:after="283"/>
              <w:jc w:val="center"/>
              <w:rPr>
                <w:b/>
              </w:rPr>
            </w:pPr>
            <w:r>
              <w:rPr>
                <w:b/>
              </w:rPr>
              <w:t>Redeemable Convertible</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2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2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Amount 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2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31,465,128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132,722</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1,672,663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5,122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(117,848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(112,559</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1,492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(28,271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(28,271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Balance, June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31,465,128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132,722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1,672,707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6,614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429" w:type="dxa"/>
            <w:tcBorders/>
            <w:vAlign w:val="bottom"/>
          </w:tcPr>
          <w:p>
            <w:pPr>
              <w:pStyle w:val="TableContents"/>
              <w:bidi w:val="0"/>
              <w:spacing w:before="0" w:after="283"/>
              <w:jc w:val="right"/>
              <w:rPr/>
            </w:pPr>
            <w:r>
              <w:rPr/>
              <w:t>199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(146,119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(139,306</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4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Balance, 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31,465,128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132,722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1,673,314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8,142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(181,702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(173,396</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redeemable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49,713,402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169,458</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convertible promissory notes into Series D-1 redeemable convertible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11,887,535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40,651</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upon exercise of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50,350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2,410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2,410</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Translation adjustment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r>
              <w:rPr/>
              <w:t>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(26,573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(26,573</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June 30,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 </w:t>
            </w:r>
            <w:r>
              <w:rPr/>
              <w:t>93,066,065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 </w:t>
            </w:r>
            <w:r>
              <w:rPr/>
              <w:t>342,831</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r>
              <w:rPr/>
              <w:t>1,723,664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   </w:t>
            </w: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   </w:t>
            </w:r>
            <w:r>
              <w:rPr/>
              <w:t>10,977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   </w:t>
            </w:r>
            <w:r>
              <w:rPr/>
              <w:t>167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(208,275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(197,131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4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1500" w:after="0"/>
        <w:jc w:val="center"/>
        <w:rPr>
          <w:rFonts w:ascii="Times New Roman" w:hAnsi="Times New Roman"/>
          <w:i/>
          <w:sz w:val="20"/>
        </w:rPr>
      </w:pPr>
      <w:r>
        <w:rPr>
          <w:rFonts w:ascii="Times New Roman" w:hAnsi="Times New Roman"/>
          <w:i/>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fin835745_10"/>
      <w:bookmarkEnd w:id="34"/>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8"/>
        <w:gridCol w:w="219"/>
        <w:gridCol w:w="149"/>
        <w:gridCol w:w="1491"/>
        <w:gridCol w:w="156"/>
        <w:gridCol w:w="190"/>
        <w:gridCol w:w="149"/>
        <w:gridCol w:w="1352"/>
        <w:gridCol w:w="161"/>
      </w:tblGrid>
      <w:tr>
        <w:trPr/>
        <w:tc>
          <w:tcPr>
            <w:tcW w:w="6338"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3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4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used in operating activities: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49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491" w:type="dxa"/>
            <w:tcBorders/>
            <w:vAlign w:val="bottom"/>
          </w:tcPr>
          <w:p>
            <w:pPr>
              <w:pStyle w:val="TableContents"/>
              <w:bidi w:val="0"/>
              <w:spacing w:before="0" w:after="283"/>
              <w:jc w:val="right"/>
              <w:rPr/>
            </w:pPr>
            <w:r>
              <w:rPr/>
              <w:t>(26,573</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(28,271</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49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2,410</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1,492</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82</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73</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promissory notes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250</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935</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2,643</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2</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changes in fair value on warrants and derivative liabilities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78</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2,075</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49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(1,621</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(229</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(25</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(1,211</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(803</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(5,780</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1,923</w:t>
            </w:r>
          </w:p>
        </w:tc>
        <w:tc>
          <w:tcPr>
            <w:tcW w:w="161"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(31,453</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(21,096</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used in investing activities: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49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(35</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(67</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investments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(100</w:t>
            </w:r>
          </w:p>
        </w:tc>
        <w:tc>
          <w:tcPr>
            <w:tcW w:w="161"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(35</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(167</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provided by financing activities: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49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Series D Issuance, net of issuance costs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169,458</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notes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23,500</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costs paid on convertible notes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(4</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Term loan principal payments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(3,000</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term loan</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12,500</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paid on term loan</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(4</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option exercises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425</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(1,269</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165,614</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35,992</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cash equivalents, and restricted cash</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2</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30</w:t>
            </w:r>
          </w:p>
        </w:tc>
        <w:tc>
          <w:tcPr>
            <w:tcW w:w="161" w:type="dxa"/>
            <w:tcBorders/>
            <w:vAlign w:val="bottom"/>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134,128</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14,759</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as of beginning of the year</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24,957</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27,644</w:t>
            </w:r>
          </w:p>
        </w:tc>
        <w:tc>
          <w:tcPr>
            <w:tcW w:w="161"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as of end of period</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491" w:type="dxa"/>
            <w:tcBorders/>
            <w:shd w:fill="CCEEFF" w:val="clear"/>
            <w:vAlign w:val="bottom"/>
          </w:tcPr>
          <w:p>
            <w:pPr>
              <w:pStyle w:val="TableContents"/>
              <w:bidi w:val="0"/>
              <w:spacing w:before="0" w:after="283"/>
              <w:jc w:val="right"/>
              <w:rPr/>
            </w:pPr>
            <w:r>
              <w:rPr/>
              <w:t>    </w:t>
            </w:r>
            <w:r>
              <w:rPr/>
              <w:t>159,085</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    </w:t>
            </w:r>
            <w:r>
              <w:rPr/>
              <w:t>42,403</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49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convertible promissory notes into Series D-1 redeemable convertible preferred stock</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491" w:type="dxa"/>
            <w:tcBorders/>
            <w:shd w:fill="CCEEFF" w:val="clear"/>
            <w:vAlign w:val="bottom"/>
          </w:tcPr>
          <w:p>
            <w:pPr>
              <w:pStyle w:val="TableContents"/>
              <w:bidi w:val="0"/>
              <w:spacing w:before="0" w:after="283"/>
              <w:jc w:val="right"/>
              <w:rPr/>
            </w:pPr>
            <w:r>
              <w:rPr/>
              <w:t>40,651</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491" w:type="dxa"/>
            <w:tcBorders/>
            <w:vAlign w:val="bottom"/>
          </w:tcPr>
          <w:p>
            <w:pPr>
              <w:pStyle w:val="TableContents"/>
              <w:bidi w:val="0"/>
              <w:spacing w:before="0" w:after="283"/>
              <w:jc w:val="right"/>
              <w:rPr/>
            </w:pPr>
            <w:r>
              <w:rPr/>
              <w:t>810</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213</w:t>
            </w:r>
          </w:p>
        </w:tc>
        <w:tc>
          <w:tcPr>
            <w:tcW w:w="161"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obligation</w:t>
            </w:r>
          </w:p>
        </w:tc>
        <w:tc>
          <w:tcPr>
            <w:tcW w:w="2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491" w:type="dxa"/>
            <w:tcBorders/>
            <w:shd w:fill="CCEEFF" w:val="clear"/>
            <w:vAlign w:val="bottom"/>
          </w:tcPr>
          <w:p>
            <w:pPr>
              <w:pStyle w:val="TableContents"/>
              <w:bidi w:val="0"/>
              <w:spacing w:before="0" w:after="283"/>
              <w:jc w:val="right"/>
              <w:rPr/>
            </w:pPr>
            <w:r>
              <w:rPr/>
              <w:t>282</w:t>
            </w:r>
          </w:p>
        </w:tc>
        <w:tc>
          <w:tcPr>
            <w:tcW w:w="15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407</w:t>
            </w:r>
          </w:p>
        </w:tc>
        <w:tc>
          <w:tcPr>
            <w:tcW w:w="161" w:type="dxa"/>
            <w:tcBorders/>
            <w:shd w:fill="CCEEFF" w:val="clear"/>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accounts payable, accrued expenses, and other current liabilities</w:t>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491" w:type="dxa"/>
            <w:tcBorders/>
            <w:vAlign w:val="bottom"/>
          </w:tcPr>
          <w:p>
            <w:pPr>
              <w:pStyle w:val="TableContents"/>
              <w:bidi w:val="0"/>
              <w:spacing w:before="0" w:after="283"/>
              <w:jc w:val="right"/>
              <w:rPr/>
            </w:pPr>
            <w:r>
              <w:rPr/>
              <w:t>1,328</w:t>
            </w:r>
          </w:p>
        </w:tc>
        <w:tc>
          <w:tcPr>
            <w:tcW w:w="15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33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fin835745_11"/>
      <w:bookmarkEnd w:id="35"/>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Note 1. Nature of Business and Liquidity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Nature of Business </w:t>
      </w:r>
    </w:p>
    <w:p>
      <w:pPr>
        <w:pStyle w:val="TextBody"/>
        <w:bidi w:val="0"/>
        <w:spacing w:before="120" w:after="0"/>
        <w:jc w:val="both"/>
        <w:rPr>
          <w:rFonts w:ascii="Times New Roman" w:hAnsi="Times New Roman"/>
          <w:sz w:val="20"/>
        </w:rPr>
      </w:pPr>
      <w:r>
        <w:rPr>
          <w:rFonts w:ascii="Times New Roman" w:hAnsi="Times New Roman"/>
          <w:sz w:val="20"/>
        </w:rPr>
        <w:t xml:space="preserve">BioAge Labs, Inc. (the Company), is a clinical-stage biotechnology company developing therapeutic product candidates for metabolic diseases, such as obesity, by targeting a key risk factor: aging. The Companys lead product candidate, azelaprag, is an orally available small molecule that has been well-tolerated in over 240 individuals in seven Phase 1 clinical trials to date. The Companys second product candidate, BGE-100, is an orally available small molecule brain-penetrant NLRP3 antagonist that is being initially developed for the treatment of diseases driven by neuroinflammation. </w:t>
      </w:r>
    </w:p>
    <w:p>
      <w:pPr>
        <w:pStyle w:val="TextBody"/>
        <w:bidi w:val="0"/>
        <w:spacing w:before="240" w:after="0"/>
        <w:jc w:val="both"/>
        <w:rPr>
          <w:rFonts w:ascii="Times New Roman" w:hAnsi="Times New Roman"/>
          <w:sz w:val="20"/>
        </w:rPr>
      </w:pPr>
      <w:r>
        <w:rPr>
          <w:rFonts w:ascii="Times New Roman" w:hAnsi="Times New Roman"/>
          <w:sz w:val="20"/>
        </w:rPr>
        <w:t xml:space="preserve">The Company was incorporated in 2015 in Delaware and is headquartered in Richmond, California.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Since inception, the Companys operations have consisted primarily of organizing and staffing the Company, business planning, raising capital, establishing its intellectual property portfolio, acquiring or discovering product candidates, research and development activities for its product candidates, establishing arrangements with third parties for the manufacture of its product candidates and component materials, and providing general and administrative support for these operations. The Company has not generated any product revenue to date.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incurred losses and negative cash flows from operations since inception and had an accumulated deficit of $208.3 million and $181.7 million as of June 30, 2024 and December 31, 2023, respectively. The Company anticipates incurring additional losses until such time, if ever, that it can generate significant sales of its products currently in development. As of June 30, 2024, the Company had cash and cash equivalents of $159.1 million. </w:t>
      </w:r>
    </w:p>
    <w:p>
      <w:pPr>
        <w:pStyle w:val="TextBody"/>
        <w:bidi w:val="0"/>
        <w:spacing w:before="240" w:after="0"/>
        <w:jc w:val="both"/>
        <w:rPr>
          <w:rFonts w:ascii="Times New Roman" w:hAnsi="Times New Roman"/>
          <w:sz w:val="20"/>
        </w:rPr>
      </w:pPr>
      <w:r>
        <w:rPr>
          <w:rFonts w:ascii="Times New Roman" w:hAnsi="Times New Roman"/>
          <w:sz w:val="20"/>
        </w:rPr>
        <w:t xml:space="preserve">Current cash and cash equivalents are sufficient to fund planned operations for at least 12 months from the date of issuance of these financial statements. Accordingly, these condensed consolidated financial statements have been prepared on a going concern basis and do not include any adjustments to the amounts and classification of assets and liabilities that may be necessary in the event the Company can no longer continue as a going concern. </w:t>
      </w:r>
    </w:p>
    <w:p>
      <w:pPr>
        <w:pStyle w:val="TextBody"/>
        <w:bidi w:val="0"/>
        <w:spacing w:before="240" w:after="0"/>
        <w:jc w:val="both"/>
        <w:rPr>
          <w:rFonts w:ascii="Times New Roman" w:hAnsi="Times New Roman"/>
          <w:sz w:val="20"/>
        </w:rPr>
      </w:pPr>
      <w:r>
        <w:rPr>
          <w:rFonts w:ascii="Times New Roman" w:hAnsi="Times New Roman"/>
          <w:sz w:val="20"/>
        </w:rPr>
        <w:t xml:space="preserve">Until such time, if ever, the Company can generate substantial product revenues, it expects to finance its cash needs through equity offerings, debt financings or other capital sources, which could include collaborations, strategic alliances or licensing arrangements. To the extent that the Company raises additional capital through the sale of equity or convertible debt securities, the ownership interests of the Companys existing stockholders may be diluted, and the terms of these securities may include liquidation or other preferences that could adversely affect the rights of such stockholders. Debt financing, if available, may involve agreements that include restrictive covenants that limit the Companys ability to take specific actions, such as incurring additional debt, making capital expenditures or declaring dividends, that could adversely impact the Companys ability to conduct its business. If the Company raises additional funds through collaborations, strategic alliances or licensing arrangements with third parties, the Company may have to relinquish valuable rights to its technologies, future revenue streams, research program or product candidates, or grant licenses on terms that may not be favorable to the Company. If the Company is unable to raise additional funds through equity or debt financings when needed, the Company may be required to delay, limit, reduce or terminate its product development or future commercialization efforts or grant rights to develop and market product candidates that the Company would otherwise prefer to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Unaudited interim condensed consolidated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The interim condensed consolidated balance sheet as of June 30, 2024, interim condensed consolidated statements of operations and comprehensive loss, interim condensed consolidated statements of redeemable convertible preferred stock and stockholders deficit, and interim condensed consolidated statements of cash flows for the six months ended June 30, 2024 and 2023 are unaudited. These unaudited interim condensed consolidated financial statements have been prepared on a basis consistent with the Companys audited consolidated financial statements and include, in the opinion of management, all adjustments of a normal or recurring nature that management considers necessary for a fair presentation of the Companys consolidated financial information. The financial data and the other financial information disclosed in these notes to the condensed consolidated financial statements related to the six-month periods are also unaudited. The condensed consolidated results of operations and cash flows for the six months ended June 30, 2024 are not necessarily indicative of the results of operations that may be expected for the year ended December 31, 2024 or for any future period. The condensed consolidated balance sheet as of December 31, 2023 was derived from the audited consolidated financial statements as of that date. </w:t>
      </w:r>
    </w:p>
    <w:p>
      <w:pPr>
        <w:pStyle w:val="TextBody"/>
        <w:bidi w:val="0"/>
        <w:spacing w:before="240" w:after="0"/>
        <w:jc w:val="both"/>
        <w:rPr>
          <w:rFonts w:ascii="Times New Roman" w:hAnsi="Times New Roman"/>
          <w:sz w:val="20"/>
        </w:rPr>
      </w:pPr>
      <w:r>
        <w:rPr>
          <w:rFonts w:ascii="Times New Roman" w:hAnsi="Times New Roman"/>
          <w:sz w:val="20"/>
        </w:rPr>
        <w:t xml:space="preserve">These unaudited condensed consolidated financial statements should be read in conjunction with the Companys audited consolidated financial statements as of and for the year ended December 31, 2023 and the accompanying notes thereto.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Reverse Stock Split </w:t>
      </w:r>
    </w:p>
    <w:p>
      <w:pPr>
        <w:pStyle w:val="TextBody"/>
        <w:bidi w:val="0"/>
        <w:spacing w:before="120" w:after="0"/>
        <w:jc w:val="both"/>
        <w:rPr>
          <w:rFonts w:ascii="Times New Roman" w:hAnsi="Times New Roman"/>
          <w:sz w:val="20"/>
        </w:rPr>
      </w:pPr>
      <w:r>
        <w:rPr>
          <w:rFonts w:ascii="Times New Roman" w:hAnsi="Times New Roman"/>
          <w:sz w:val="20"/>
        </w:rPr>
        <w:t xml:space="preserve">On September 17, 2024, the Company amended its amended and restated certificate of incorporation in order to effect a 1-for-4.4626 reverse stock split of its outstanding shares of common stock (the Reverse Stock Split). As a result of the Reverse Stock Split, every 4.4626 shares of the Companys common stock issued or outstanding were automatically reclassified into one new share of common stock, subject to the treatment of fractional shares as described below, without any action on the part of the holders. All historical share and per-share amounts reflected throughout the accompanying unaudited condensed consolidated financial statements have been retroactively adjusted to reflect the Reverse Stock Split as if the split occurred as of the earliest period presented. The Reverse Stock Split did not affect the number of authorized shares of common stock or the par value of the common stock. No fractional shares were issued in connection with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condensed consolidated financial statements in conformity with GAAP requires management to make estimates and assumptions that affect the reported amounts of assets and liabilities and disclosure of contingent assets and liabilities as of the date of the condensed consolidated financial statements and the reported amounts of expenses during the reporting period. Actual results could differ from those estimates. </w:t>
      </w:r>
    </w:p>
    <w:p>
      <w:pPr>
        <w:pStyle w:val="TextBody"/>
        <w:bidi w:val="0"/>
        <w:spacing w:before="240" w:after="0"/>
        <w:jc w:val="both"/>
        <w:rPr>
          <w:rFonts w:ascii="Times New Roman" w:hAnsi="Times New Roman"/>
          <w:sz w:val="20"/>
        </w:rPr>
      </w:pPr>
      <w:r>
        <w:rPr>
          <w:rFonts w:ascii="Times New Roman" w:hAnsi="Times New Roman"/>
          <w:sz w:val="20"/>
        </w:rPr>
        <w:t xml:space="preserve">Estimates and assumptions are periodically reviewed and the effects of revisions are reflected in the condensed consolidated financial statements in the period they are determined to be necessary. Areas that require managements estimates include the fair values of the Companys common and redeemable convertible preferred stock, warrant liability, embedded derivative liability, stock-based compensation expense assumptions, deferred tax assets and accruals for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both"/>
        <w:rPr>
          <w:rFonts w:ascii="Times New Roman" w:hAnsi="Times New Roman"/>
          <w:sz w:val="20"/>
        </w:rPr>
      </w:pPr>
      <w:r>
        <w:rPr>
          <w:rFonts w:ascii="Times New Roman" w:hAnsi="Times New Roman"/>
          <w:sz w:val="20"/>
        </w:rPr>
        <w:t xml:space="preserve">Results of foreign operations are translated from their functional currency into U.S. dollars (reporting currency) using average exchange rates in effect during the year while assets and liabilities are translated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U.S. dollars using exchange rates in effect at the balance sheet date. The resulting translation adjustments are recorded in accumulated other comprehensive income (loss). Transaction gains and losses resulting from exchange rate changes on transactions denominated in currencies other than the U.S. dollar are included in operations in the period in which the transaction occurs.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extending healthy human life by targeting molecular causes of aging. The Companys Chief Executive Officer, who is the chief operating decision maker, reviews financial information on an aggregate basis for allocating and evaluating financial performance. All long-lived assets are maintained in, and all losses are attributable to,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120" w:after="0"/>
        <w:jc w:val="both"/>
        <w:rPr>
          <w:rFonts w:ascii="Times New Roman" w:hAnsi="Times New Roman"/>
          <w:sz w:val="20"/>
        </w:rPr>
      </w:pPr>
      <w:r>
        <w:rPr>
          <w:rFonts w:ascii="Times New Roman" w:hAnsi="Times New Roman"/>
          <w:sz w:val="20"/>
        </w:rPr>
        <w:t xml:space="preserve">The Company considers all highly liquid investments that have original maturities of three months or less when acquired to be cash equivalents. Cash and cash equivalents as of June 30, 2024 and December 31, 2023 consisted of bank deposits and money market mutual funds invested in short-term U.S. government obligations. The Company had no restricted cash as of June 30, 2024. As of December 31, 2023 the Company had $3.3 million in restricted cash related to the Wellcome Leap Commercial Research Funding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w:t>
      </w:r>
    </w:p>
    <w:p>
      <w:pPr>
        <w:pStyle w:val="TextBody"/>
        <w:bidi w:val="0"/>
        <w:spacing w:before="120" w:after="0"/>
        <w:jc w:val="both"/>
        <w:rPr>
          <w:rFonts w:ascii="Times New Roman" w:hAnsi="Times New Roman"/>
          <w:sz w:val="20"/>
        </w:rPr>
      </w:pPr>
      <w:r>
        <w:rPr>
          <w:rFonts w:ascii="Times New Roman" w:hAnsi="Times New Roman"/>
          <w:sz w:val="20"/>
        </w:rPr>
        <w:t xml:space="preserve">Cash and cash equivalents are financial instruments that are potentially subject to concentrations of credit risk to the extent they exceed the federal depository insurance limits. The Company is exposed to credit risk in the event of default by the financial institutions holding its cash and cash equivalents to the extent recorded in the balance sheets. While the Company has not experienced any losses in such accounts, the failure of Silicon Valley Bank (SVB) in 2023, at which the Company held cash and cash equivalents in multiple accounts, potentially exposed the Company to significant credit risk. The Federal Deposit Insurance Corporation (FDIC) issued a statement on March 13, 2023 that they intended to take action to fully protect SVB depositors, which they did on March 27, 2023, by making SVB a division of First Citizens Bank. As of the date of the issuance of these condensed consolidated financial statements, the Company has full access to and control over all of its cash and cash equivalents. The Company has no financial instruments with off-balance sheet risk of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both"/>
        <w:rPr>
          <w:rFonts w:ascii="Times New Roman" w:hAnsi="Times New Roman"/>
          <w:sz w:val="20"/>
        </w:rPr>
      </w:pPr>
      <w:r>
        <w:rPr>
          <w:rFonts w:ascii="Times New Roman" w:hAnsi="Times New Roman"/>
          <w:sz w:val="20"/>
        </w:rPr>
        <w:t xml:space="preserve">The Company faces risks and uncertainties associated with companies in the biotechnology industry, including but not limited to the uncertainty of success of its preclinical studies and clinical trials, regulatory approval of product candidates, uncertainty of market acceptance of products, competition from substitute products and larger companies, the need for additional financing, compliance with government regulations, dependence on third parties, recruiting and retaining skilled personnel, and dependence on key members of management. </w:t>
      </w:r>
    </w:p>
    <w:p>
      <w:pPr>
        <w:pStyle w:val="TextBody"/>
        <w:bidi w:val="0"/>
        <w:spacing w:before="240" w:after="0"/>
        <w:jc w:val="both"/>
        <w:rPr>
          <w:rFonts w:ascii="Times New Roman" w:hAnsi="Times New Roman"/>
          <w:sz w:val="20"/>
        </w:rPr>
      </w:pPr>
      <w:r>
        <w:rPr>
          <w:rFonts w:ascii="Times New Roman" w:hAnsi="Times New Roman"/>
          <w:sz w:val="20"/>
        </w:rPr>
        <w:t xml:space="preserve">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net is carried at cost less accumulated depreciation. Depreciation is computed over the estimated useful lives of the respective assets using the straight-line method. Useful lives of property and equipment range from three to five years. Operating lease leasehold improvements are amortized over the lesser of the useful lives of the leasehold improvements or the lease term. Upon retirement or sale, the costs of the assets disposed of and the related accumulated depreciation are removed from the accounts and any resulting gain or loss is credited or charged to operations. Maintenance and repairs are expensed as incurred. Asset improvements are capitalized.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both"/>
        <w:rPr>
          <w:rFonts w:ascii="Times New Roman" w:hAnsi="Times New Roman"/>
          <w:sz w:val="20"/>
        </w:rPr>
      </w:pPr>
      <w:r>
        <w:rPr>
          <w:rFonts w:ascii="Times New Roman" w:hAnsi="Times New Roman"/>
          <w:sz w:val="20"/>
        </w:rPr>
        <w:t xml:space="preserve">The Company reviews long-lived assets for impairment whenever events or changes in circumstances indicate that the carrying amount of an asset may not be recoverable. Recoverability is measured by a comparison of the carrying amount of an asset to future undiscounted net cash flows which the assets are expected to generate. If such assets are considered to be impaired, the impairment is measured by the excess of the carrying amount of the assets over fair value less the costs to sell the assets, generally determined using the projected discounted future net cash flows arising from the asset. The Company did not recognize any impairment of long-lived assets during the six months ended June 30, 2024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records redeemable convertible preferred stock net of issuance costs on the date of issuance, which represents the carrying value. Redeemable convertible preferred stock is classified outside of stockholders deficit as temporary equity on the accompanying condensed consolidated balance sheets as events triggering the liquidation preferences, including a deemed liquidation event, are not solely within the Companys control. The Company has not remeasured redeemable convertible preferred stock. The carrying values of the redeemable convertible preferred stock will be adjusted to their liquidation preferences if and when it becomes probable that such a liquidation event will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Promissory Notes and Embedded Derivative Liability </w:t>
      </w:r>
    </w:p>
    <w:p>
      <w:pPr>
        <w:pStyle w:val="TextBody"/>
        <w:bidi w:val="0"/>
        <w:spacing w:before="120" w:after="0"/>
        <w:jc w:val="both"/>
        <w:rPr>
          <w:rFonts w:ascii="Times New Roman" w:hAnsi="Times New Roman"/>
          <w:sz w:val="20"/>
        </w:rPr>
      </w:pPr>
      <w:r>
        <w:rPr>
          <w:rFonts w:ascii="Times New Roman" w:hAnsi="Times New Roman"/>
          <w:sz w:val="20"/>
        </w:rPr>
        <w:t xml:space="preserve">Convertible promissory notes are recorded at the issued value. Debt discount and issuance costs, consisting of legal and other fees directly related to the debt, are offset against gross proceeds from the issuance of the convertible promissory notes and are amortized to interest expense over the life of the debt based on the effective interest method. Amortization expense is presented in interest expense in the condensed consolidated statement of operations and comprehensive loss. </w:t>
      </w:r>
    </w:p>
    <w:p>
      <w:pPr>
        <w:pStyle w:val="TextBody"/>
        <w:bidi w:val="0"/>
        <w:spacing w:before="240" w:after="0"/>
        <w:jc w:val="both"/>
        <w:rPr>
          <w:rFonts w:ascii="Times New Roman" w:hAnsi="Times New Roman"/>
          <w:sz w:val="20"/>
        </w:rPr>
      </w:pPr>
      <w:r>
        <w:rPr>
          <w:rFonts w:ascii="Times New Roman" w:hAnsi="Times New Roman"/>
          <w:sz w:val="20"/>
        </w:rPr>
        <w:t xml:space="preserve">The Company reviews the terms of its convertible promissory notes to determine whether there are conversion features or embedded derivative instruments including embedded conversion options that are required to be bifurcated and accounted for separately as a derivative financial instrument. In circumstances where the convertible promissory notes contain more than one embedded derivative instrument, including conversion options that are required to be bifurcated, the bifurcated derivative instruments are accounted for as a single compound instrument. When convertible debt contains embedded derivative instruments that are to be bifurcated and accounted for separately, the total proceeds allocated to the convertible host instruments are first allocated to the fair value of the bifurcated derivative instrument. The remaining proceeds, if any, are then allocated to the convertible instruments themselves, usually resulting in those instruments being recorded at a discount from their face amount.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2023, the Company had bifurcated embedded derivatives related to its convertible promissory notes that were accounted for separately as derivative liabilities. Derivative liabilities are initially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recorded at fair value and subsequently revalued at each reporting date with changes in fair value recognized separately in the condensed consolidated statement of operations and comprehensive loss. Derivative liabilities are presented separately in the condensed consolidated balance sheet. </w:t>
      </w:r>
    </w:p>
    <w:p>
      <w:pPr>
        <w:pStyle w:val="TextBody"/>
        <w:bidi w:val="0"/>
        <w:spacing w:before="240" w:after="0"/>
        <w:jc w:val="both"/>
        <w:rPr>
          <w:rFonts w:ascii="Times New Roman" w:hAnsi="Times New Roman"/>
          <w:sz w:val="20"/>
        </w:rPr>
      </w:pPr>
      <w:r>
        <w:rPr>
          <w:rFonts w:ascii="Times New Roman" w:hAnsi="Times New Roman"/>
          <w:sz w:val="20"/>
        </w:rPr>
        <w:t xml:space="preserve">On February 1, 2024, in connection with the closing of the Series D redeemable convertible preferred stock financing, the Convertible Promissory Notes (including accrued interest) and related embedded derivative liability converted into 11,887,535 shares of Series D-1 redeemable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Loan </w:t>
      </w:r>
    </w:p>
    <w:p>
      <w:pPr>
        <w:pStyle w:val="TextBody"/>
        <w:bidi w:val="0"/>
        <w:spacing w:before="120" w:after="0"/>
        <w:jc w:val="both"/>
        <w:rPr>
          <w:rFonts w:ascii="Times New Roman" w:hAnsi="Times New Roman"/>
          <w:sz w:val="20"/>
        </w:rPr>
      </w:pPr>
      <w:r>
        <w:rPr>
          <w:rFonts w:ascii="Times New Roman" w:hAnsi="Times New Roman"/>
          <w:sz w:val="20"/>
        </w:rPr>
        <w:t xml:space="preserve">Term loans are measured at net proceeds less debt discounts and issuance costs are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ASC Topic 815, </w:t>
      </w:r>
      <w:r>
        <w:rPr>
          <w:rFonts w:ascii="Times New Roman" w:hAnsi="Times New Roman"/>
          <w:i/>
          <w:sz w:val="20"/>
        </w:rPr>
        <w:t xml:space="preserve">Derivatives and Hedging </w:t>
      </w:r>
      <w:r>
        <w:rPr>
          <w:rFonts w:ascii="Times New Roman" w:hAnsi="Times New Roman"/>
          <w:sz w:val="20"/>
        </w:rPr>
        <w:t xml:space="preserve">(Note 5).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Liability </w:t>
      </w:r>
    </w:p>
    <w:p>
      <w:pPr>
        <w:pStyle w:val="TextBody"/>
        <w:bidi w:val="0"/>
        <w:spacing w:before="120" w:after="0"/>
        <w:jc w:val="both"/>
        <w:rPr>
          <w:rFonts w:ascii="Times New Roman" w:hAnsi="Times New Roman"/>
          <w:sz w:val="20"/>
        </w:rPr>
      </w:pPr>
      <w:r>
        <w:rPr>
          <w:rFonts w:ascii="Times New Roman" w:hAnsi="Times New Roman"/>
          <w:sz w:val="20"/>
        </w:rPr>
        <w:t xml:space="preserve">Freestanding warrants for the Companys common stock are classified as liabilities and recorded at fair value, with any change in fair value recognized as a component of other income (loss). Such warrant liabilities are subject to re-measurement at each balance sheet date until the earlier of the exercise of the warrants, expiration, or the completion of a change in control event. Upon exercise, the warrant liability would be reclassified to additional paid-in capital, at its then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costs are expensed as incurred and include all direct and indirect costs associated with the development of the Companys product candidates and other research programs. These expenses consist primarily of personnel costs, stock-based compensation charges, consulting fees, and payments to third parties for research, development, and manufacturing services as well as other allocated facility-related costs and overhead expenses. Nonrefundable advance payments for goods or services that will be used or rendered for future research and development activities are capitalized and expensed as the goods are delivered or the related services are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records accruals for estimated costs of research, preclinical studies, clinical trials, and manufacturing, which are significant components of research and development expenses. A substantial portion of the Companys ongoing research and development activities is conducted by third-party service providers, clinical research organizations (CROs), and clinical manufacturing organizations (CMOs). The Companys contracts with CROs generally include pass-through fees such as laboratory supplies and services,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or actual timeline (start-date and end-date) of the services and the agreed-upon fees to be paid for such services. In the event the Company makes advance payments, the payments are recorded as a prepaid expense and recognized as the services are performed.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actual costs become known, including subsequent to the reporting date, the Company adjusts its accruals. Although the Company does not expect its estimates to be materially different from amounts actually incurred, such estimates for the status and timing of services performed relative to the actual status and timing of services performed may vary and could result in the Company reporting amounts that are too high or too low in any particular period. The Companys accrual is dependent, in part, upon the receipt of timely and accurate reporting from CROs and other third-party vendors. Variations in the assumptions used to estimate accruals including, but not limited to, the number of patients enrolled, the rate of patient enrollment and the actual services performed, may vary from the Companys estimates, resulting in adjustments to clinical trial expenses in future periods. Changes in these estimates that result in material changes to the Companys accruals could materially affect its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Expenses </w:t>
      </w:r>
    </w:p>
    <w:p>
      <w:pPr>
        <w:pStyle w:val="TextBody"/>
        <w:bidi w:val="0"/>
        <w:spacing w:before="120" w:after="0"/>
        <w:jc w:val="both"/>
        <w:rPr>
          <w:rFonts w:ascii="Times New Roman" w:hAnsi="Times New Roman"/>
          <w:sz w:val="20"/>
        </w:rPr>
      </w:pPr>
      <w:r>
        <w:rPr>
          <w:rFonts w:ascii="Times New Roman" w:hAnsi="Times New Roman"/>
          <w:sz w:val="20"/>
        </w:rPr>
        <w:t xml:space="preserve">Acquired in-process research and development expense consists of payments incurred in connection with the acquisition or licensing of products or technologies that do not meet the definition of a business under FASB ASC Topic 805, </w:t>
      </w:r>
      <w:r>
        <w:rPr>
          <w:rFonts w:ascii="Times New Roman" w:hAnsi="Times New Roman"/>
          <w:i/>
          <w:sz w:val="20"/>
        </w:rPr>
        <w:t>Business Combinations.</w:t>
      </w:r>
      <w:r>
        <w:rPr>
          <w:rFonts w:ascii="Times New Roman" w:hAnsi="Times New Roman"/>
          <w:sz w:val="20"/>
        </w:rPr>
        <w:t xml:space="preserve"> Costs incurred in obtaining technology licenses including upfront and milestone payments incurred under licensing agreements are recorded as expense in the period in which they are incurred, provided that the licensed technology, method or process has no alternative future uses other than for the specific research and development activities. Such payments are classified as cash flows from operating activities in the Companys condensed consolidated statements of cash flows. Milestone payments within the Companys licensing arrangements are recognized when achievement of the milestone payment is legally due and payable. To the extent products are commercialized and future economic benefit has been established, commercial milestones that become probable are capitalized and amortized over the estimated remaining useful life of the intellectual property. In addition, the Company accrues royalty expense and sublicense nonroyalty payments, as applicable, for the amount it is obligated to pay, with adjustments as sales are made.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Companys stock-based compensation program allows for grants of stock options and restricted stock awards. Grants are awarded to employees and non-employees, including directors. </w:t>
      </w:r>
    </w:p>
    <w:p>
      <w:pPr>
        <w:pStyle w:val="TextBody"/>
        <w:bidi w:val="0"/>
        <w:spacing w:before="240" w:after="0"/>
        <w:jc w:val="both"/>
        <w:rPr>
          <w:rFonts w:ascii="Times New Roman" w:hAnsi="Times New Roman"/>
          <w:sz w:val="20"/>
        </w:rPr>
      </w:pPr>
      <w:r>
        <w:rPr>
          <w:rFonts w:ascii="Times New Roman" w:hAnsi="Times New Roman"/>
          <w:sz w:val="20"/>
        </w:rPr>
        <w:t xml:space="preserve">Compensation cost for the Companys stock-based payments to employees, non-employees and directors, are based on estimated fair value of the awards on the date of grant. The Company estimates the fair value of options granted using the Black-Scholes option pricing model for stock option grants to both employees and non-employees. The fair value of restricted stock awards is measured as the fair value per share of the Companys common stock on the date of grant and are presented as an outstanding share of common stock when vested and no longer subject to repurchase. </w:t>
      </w:r>
    </w:p>
    <w:p>
      <w:pPr>
        <w:pStyle w:val="TextBody"/>
        <w:bidi w:val="0"/>
        <w:spacing w:before="240" w:after="0"/>
        <w:jc w:val="both"/>
        <w:rPr>
          <w:rFonts w:ascii="Times New Roman" w:hAnsi="Times New Roman"/>
          <w:sz w:val="20"/>
        </w:rPr>
      </w:pPr>
      <w:r>
        <w:rPr>
          <w:rFonts w:ascii="Times New Roman" w:hAnsi="Times New Roman"/>
          <w:sz w:val="20"/>
        </w:rPr>
        <w:t xml:space="preserve">The Companys stock-based compensation awards are subject to service-based vesting conditions. Compensation expense related to awards to employees, directors and non-employees with service-based vesting conditions is recognized on a straight-line basis based on the vesting date fair value over the associated service period of the award, which is generally the vesting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Income taxes are accounted for under the asset and liability method in accordance with ASC Topic 740, </w:t>
      </w:r>
      <w:r>
        <w:rPr>
          <w:rFonts w:ascii="Times New Roman" w:hAnsi="Times New Roman"/>
          <w:i/>
          <w:sz w:val="20"/>
        </w:rPr>
        <w:t>Income Taxes.</w:t>
      </w:r>
      <w:r>
        <w:rPr>
          <w:rFonts w:ascii="Times New Roman" w:hAnsi="Times New Roman"/>
          <w:sz w:val="20"/>
        </w:rPr>
        <w:t xml:space="preserve"> Deferred tax assets and liabilities are recognized for the future tax consequences attributable to the differences between the financial statement carrying amounts of existing assets and liabilities and their respective tax bases and the operating loss and tax credit carry forwards. Deferred tax assets and liabilities are measured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balance sheet date using the enacted tax rates expected to apply to taxable income in the years in which those temporary differences are expected to be recovered or settled. Deferred tax assets are reduced by a valuation allowance if it is more likely than not that these assets may not be realized. The Company determines whether it is more-likely-than-not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No interest or penalties were charged to the Company related to uncertain tax positions for the six months ended June 30, 2024 or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The Company determines if an arrangement is a lease at the inception of the arrangement. Operating leases are included in right-of-use assets, current portion of operating lease liability, and operating lease liability, net of current portion in the Companys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and exclude lease incentives. The Companys lease terms may include options to extend or terminate the lease when it is reasonably certain that the Company will exercise any such options. Lease expense is recognized on a straight-line basis over the expected lease term. The Company has elected not to separate lease and non-lease components, such as common area maintenance charges, and instead it accounts for these as a single lease component. Leases with an initial term of 12 months or less are not recorded on the balance sheet, unless they include an option to purchase the underlying asset or to extend the lease that the Company is reasonably certain to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both"/>
        <w:rPr>
          <w:rFonts w:ascii="Times New Roman" w:hAnsi="Times New Roman"/>
          <w:sz w:val="20"/>
        </w:rPr>
      </w:pPr>
      <w:r>
        <w:rPr>
          <w:rFonts w:ascii="Times New Roman" w:hAnsi="Times New Roman"/>
          <w:sz w:val="20"/>
        </w:rPr>
        <w:t xml:space="preserve">Comprehensive loss is defined as a change in equity of a business enterprise during a period, resulting from transactions from non-owner sources. Comprehensive loss is comprised of net loss and other comprehensive income (loss). The Companys other comprehensive loss consists of foreign currency translation adjustments. Total comprehensive loss for all periods presented has been disclosed in the condensed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w:t>
      </w:r>
    </w:p>
    <w:p>
      <w:pPr>
        <w:pStyle w:val="TextBody"/>
        <w:bidi w:val="0"/>
        <w:spacing w:before="240" w:after="0"/>
        <w:jc w:val="both"/>
        <w:rPr>
          <w:rFonts w:ascii="Times New Roman" w:hAnsi="Times New Roman"/>
          <w:sz w:val="20"/>
        </w:rPr>
      </w:pPr>
      <w:r>
        <w:rPr>
          <w:rFonts w:ascii="Times New Roman" w:hAnsi="Times New Roman"/>
          <w:sz w:val="20"/>
        </w:rPr>
        <w:t xml:space="preserve">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attributable to common stockholders calculation, redeemable convertible preferred stock, stock options, and warrants are considered to be potentially dilutive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applies the two-class method to calculate its basic and diluted net loss per share attributable to common stockholders as the Company has issued shares that meet the definition of participating securities. The two-class method is an earnings allocation formula that treats a participating security as having rights to earnings that otherwise would have been available to common stockholders. Participating securities consist of common stock and redeemable convertible preferred stock.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 </w:t>
      </w:r>
    </w:p>
    <w:p>
      <w:pPr>
        <w:pStyle w:val="TextBody"/>
        <w:bidi w:val="0"/>
        <w:spacing w:before="240" w:after="0"/>
        <w:jc w:val="both"/>
        <w:rPr>
          <w:rFonts w:ascii="Times New Roman" w:hAnsi="Times New Roman"/>
          <w:sz w:val="20"/>
        </w:rPr>
      </w:pPr>
      <w:r>
        <w:rPr>
          <w:rFonts w:ascii="Times New Roman" w:hAnsi="Times New Roman"/>
          <w:sz w:val="20"/>
        </w:rPr>
        <w:t xml:space="preserve">Accordingly, in periods in which the Company reports a net loss, diluted net loss per share attributable to common stockholders is the same as basic net loss per share attributable to common stockholders, since dilutive common shares are not assumed to have been issued if their effect is anti-dilutive.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both"/>
        <w:rPr>
          <w:rFonts w:ascii="Times New Roman" w:hAnsi="Times New Roman"/>
          <w:sz w:val="20"/>
        </w:rPr>
      </w:pPr>
      <w:r>
        <w:rPr>
          <w:rFonts w:ascii="Times New Roman" w:hAnsi="Times New Roman"/>
          <w:sz w:val="20"/>
        </w:rPr>
        <w:t xml:space="preserve">GAAP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Unobservable inputs are inputs that reflect the Companys assumptions about the inputs that market participants would use in pricing the asset or liability and are developed based on the best information available in the circumstances. </w:t>
      </w:r>
    </w:p>
    <w:p>
      <w:pPr>
        <w:pStyle w:val="TextBody"/>
        <w:bidi w:val="0"/>
        <w:spacing w:before="240" w:after="0"/>
        <w:jc w:val="both"/>
        <w:rPr>
          <w:rFonts w:ascii="Times New Roman" w:hAnsi="Times New Roman"/>
          <w:sz w:val="20"/>
        </w:rPr>
      </w:pPr>
      <w:r>
        <w:rPr>
          <w:rFonts w:ascii="Times New Roman" w:hAnsi="Times New Roman"/>
          <w:sz w:val="20"/>
        </w:rPr>
        <w:t xml:space="preserve">Fair value is established as the exchange price, or exit price, representing the amount that would be received to sell an asset or paid to transfer a liability in an orderly transaction between market participants. As a basis for considering market participant assumptions in fair value measurements, an established three-tier fair value hierarchy distinguishes between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Level 1 inputs are quoted prices in active markets that are accessible at the market date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Level 2 inputs are inputs other than quoted prices included within Level 1 that are observable for the asset or liability, either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Level 3 inputs are unobservable inputs that reflect the Companys own assumptions about the assumptions market participants would use in pricing the assets or liability. Financial assets and liabilities are classified in their entirety based on the lowest level of input that is significant to the fair value measurement.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instrument. </w:t>
      </w:r>
    </w:p>
    <w:p>
      <w:pPr>
        <w:pStyle w:val="TextBody"/>
        <w:bidi w:val="0"/>
        <w:spacing w:before="240" w:after="0"/>
        <w:jc w:val="both"/>
        <w:rPr>
          <w:rFonts w:ascii="Times New Roman" w:hAnsi="Times New Roman"/>
          <w:sz w:val="20"/>
        </w:rPr>
      </w:pPr>
      <w:r>
        <w:rPr>
          <w:rFonts w:ascii="Times New Roman" w:hAnsi="Times New Roman"/>
          <w:sz w:val="20"/>
        </w:rPr>
        <w:t xml:space="preserve">The carrying amounts of the Companys other current assets, accounts payable, accrued expenses and other current liabilities reported in the condensed consolidated financial statements approximate their fair values due to their short-term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3. Fair Value Measurements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fair value hierarchy table presents information about each major category of the Companys financial assets and liabilities measured at fair value on a recurring basis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9"/>
        <w:gridCol w:w="209"/>
        <w:gridCol w:w="141"/>
        <w:gridCol w:w="1282"/>
        <w:gridCol w:w="60"/>
        <w:gridCol w:w="209"/>
        <w:gridCol w:w="141"/>
        <w:gridCol w:w="670"/>
        <w:gridCol w:w="60"/>
        <w:gridCol w:w="209"/>
        <w:gridCol w:w="141"/>
        <w:gridCol w:w="697"/>
        <w:gridCol w:w="60"/>
        <w:gridCol w:w="209"/>
        <w:gridCol w:w="141"/>
        <w:gridCol w:w="1282"/>
        <w:gridCol w:w="65"/>
      </w:tblGrid>
      <w:tr>
        <w:trPr/>
        <w:tc>
          <w:tcPr>
            <w:tcW w:w="4629"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2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30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2024</w:t>
            </w:r>
          </w:p>
        </w:tc>
        <w:tc>
          <w:tcPr>
            <w:tcW w:w="65" w:type="dxa"/>
            <w:tcBorders/>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  </w:t>
            </w:r>
            <w:r>
              <w:rPr/>
              <w:t>158,802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   </w:t>
            </w: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  </w:t>
            </w:r>
            <w:r>
              <w:rPr/>
              <w:t>158,802</w:t>
            </w:r>
          </w:p>
        </w:tc>
        <w:tc>
          <w:tcPr>
            <w:tcW w:w="65"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307</w:t>
            </w:r>
          </w:p>
        </w:tc>
        <w:tc>
          <w:tcPr>
            <w:tcW w:w="65" w:type="dxa"/>
            <w:tcBorders/>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5302" w:type="dxa"/>
            <w:gridSpan w:val="14"/>
            <w:tcBorders>
              <w:bottom w:val="single" w:sz="8" w:space="0" w:color="000000"/>
            </w:tcBorders>
            <w:tcMar>
              <w:bottom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December 31, 2023</w:t>
            </w:r>
          </w:p>
        </w:tc>
        <w:tc>
          <w:tcPr>
            <w:tcW w:w="65" w:type="dxa"/>
            <w:tcBorders/>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21,061</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21,061</w:t>
            </w:r>
          </w:p>
        </w:tc>
        <w:tc>
          <w:tcPr>
            <w:tcW w:w="65"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notes embedded derivative liability</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18,183</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18,183</w:t>
            </w:r>
          </w:p>
        </w:tc>
        <w:tc>
          <w:tcPr>
            <w:tcW w:w="65"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229</w:t>
            </w:r>
          </w:p>
        </w:tc>
        <w:tc>
          <w:tcPr>
            <w:tcW w:w="65" w:type="dxa"/>
            <w:tcBorders/>
            <w:shd w:fill="CCEEFF" w:val="clear"/>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18,412</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18,412</w:t>
            </w:r>
          </w:p>
        </w:tc>
        <w:tc>
          <w:tcPr>
            <w:tcW w:w="65" w:type="dxa"/>
            <w:tcBorders/>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There were no changes in valuation techniques or transfers between category levels during the six months ended June 30, 2024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Equivalents </w:t>
      </w:r>
    </w:p>
    <w:p>
      <w:pPr>
        <w:pStyle w:val="TextBody"/>
        <w:bidi w:val="0"/>
        <w:spacing w:before="120" w:after="0"/>
        <w:jc w:val="both"/>
        <w:rPr>
          <w:rFonts w:ascii="Times New Roman" w:hAnsi="Times New Roman"/>
          <w:sz w:val="20"/>
        </w:rPr>
      </w:pPr>
      <w:r>
        <w:rPr>
          <w:rFonts w:ascii="Times New Roman" w:hAnsi="Times New Roman"/>
          <w:sz w:val="20"/>
        </w:rPr>
        <w:t xml:space="preserve">Cash equivalents include U.S. government obligation money market mutual funds that have a maturity of three months or less from the original acquisition date. The Companys cash equivalents are classified using Level 1 inputs within the fair value hierarchy because they are valued using quoted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Promissory Notes Embedded Derivative Liability </w:t>
      </w:r>
    </w:p>
    <w:p>
      <w:pPr>
        <w:pStyle w:val="TextBody"/>
        <w:bidi w:val="0"/>
        <w:spacing w:before="120" w:after="0"/>
        <w:jc w:val="both"/>
        <w:rPr>
          <w:rFonts w:ascii="Times New Roman" w:hAnsi="Times New Roman"/>
          <w:sz w:val="20"/>
        </w:rPr>
      </w:pPr>
      <w:r>
        <w:rPr>
          <w:rFonts w:ascii="Times New Roman" w:hAnsi="Times New Roman"/>
          <w:sz w:val="20"/>
        </w:rPr>
        <w:t xml:space="preserve">The Companys Convertible Promissory Notes (as defined in Note 5) contained equity conversion options, and certain repayment features, that have been identified as a single compound embedded derivative requiring bifurcation from the Convertible Promissory Notes. The Company estimated the fair value of the convertible promissory note embedded derivative liabilities on issuance using a with-and-without scenario analysis. The estimated probability and timing of underlying events triggering the conversion and liquidity repayment features as well as discount rates, volatility and share prices are inputs used to determine the estimated fair value of the embedded derivative. The Convertible Promissory Notes and related embedded derivative liability converted into Series D-1 Redeemable Convertible Preferred Stock on February 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Liability </w:t>
      </w:r>
    </w:p>
    <w:p>
      <w:pPr>
        <w:pStyle w:val="TextBody"/>
        <w:bidi w:val="0"/>
        <w:spacing w:before="120" w:after="0"/>
        <w:jc w:val="both"/>
        <w:rPr>
          <w:rFonts w:ascii="Times New Roman" w:hAnsi="Times New Roman"/>
          <w:sz w:val="20"/>
        </w:rPr>
      </w:pPr>
      <w:r>
        <w:rPr>
          <w:rFonts w:ascii="Times New Roman" w:hAnsi="Times New Roman"/>
          <w:sz w:val="20"/>
        </w:rPr>
        <w:t xml:space="preserve">The Companys warrant liability is classified using Level 3 inputs within the fair value hierarchy because the warrant liability is valued using both observable and unobservable inputs.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4. Balance Sheet Components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3"/>
        <w:gridCol w:w="227"/>
        <w:gridCol w:w="140"/>
        <w:gridCol w:w="1016"/>
        <w:gridCol w:w="155"/>
        <w:gridCol w:w="194"/>
        <w:gridCol w:w="172"/>
        <w:gridCol w:w="1209"/>
        <w:gridCol w:w="159"/>
      </w:tblGrid>
      <w:tr>
        <w:trPr/>
        <w:tc>
          <w:tcPr>
            <w:tcW w:w="6933"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3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93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410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366</w:t>
            </w:r>
          </w:p>
        </w:tc>
        <w:tc>
          <w:tcPr>
            <w:tcW w:w="159" w:type="dxa"/>
            <w:tcBorders/>
            <w:shd w:fill="CCEEFF" w:val="clear"/>
            <w:vAlign w:val="bottom"/>
          </w:tcPr>
          <w:p>
            <w:pPr>
              <w:pStyle w:val="TableContents"/>
              <w:bidi w:val="0"/>
              <w:spacing w:before="0" w:after="283"/>
              <w:jc w:val="left"/>
              <w:rPr/>
            </w:pPr>
            <w:r>
              <w:rPr/>
              <w:t> </w:t>
            </w:r>
          </w:p>
        </w:tc>
      </w:tr>
      <w:tr>
        <w:trPr/>
        <w:tc>
          <w:tcPr>
            <w:tcW w:w="6933"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 and software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323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323</w:t>
            </w:r>
          </w:p>
        </w:tc>
        <w:tc>
          <w:tcPr>
            <w:tcW w:w="159" w:type="dxa"/>
            <w:tcBorders/>
            <w:vAlign w:val="bottom"/>
          </w:tcPr>
          <w:p>
            <w:pPr>
              <w:pStyle w:val="TableContents"/>
              <w:bidi w:val="0"/>
              <w:spacing w:before="0" w:after="283"/>
              <w:jc w:val="left"/>
              <w:rPr/>
            </w:pPr>
            <w:r>
              <w:rPr/>
              <w:t> </w:t>
            </w:r>
          </w:p>
        </w:tc>
      </w:tr>
      <w:tr>
        <w:trPr/>
        <w:tc>
          <w:tcPr>
            <w:tcW w:w="6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53</w:t>
            </w:r>
          </w:p>
        </w:tc>
        <w:tc>
          <w:tcPr>
            <w:tcW w:w="159" w:type="dxa"/>
            <w:tcBorders/>
            <w:shd w:fill="CCEEFF" w:val="clear"/>
            <w:vAlign w:val="bottom"/>
          </w:tcPr>
          <w:p>
            <w:pPr>
              <w:pStyle w:val="TableContents"/>
              <w:bidi w:val="0"/>
              <w:spacing w:before="0" w:after="283"/>
              <w:jc w:val="left"/>
              <w:rPr/>
            </w:pPr>
            <w:r>
              <w:rPr/>
              <w:t> </w:t>
            </w:r>
          </w:p>
        </w:tc>
      </w:tr>
      <w:tr>
        <w:trPr/>
        <w:tc>
          <w:tcPr>
            <w:tcW w:w="693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786</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742</w:t>
            </w:r>
          </w:p>
        </w:tc>
        <w:tc>
          <w:tcPr>
            <w:tcW w:w="159" w:type="dxa"/>
            <w:tcBorders/>
            <w:vAlign w:val="bottom"/>
          </w:tcPr>
          <w:p>
            <w:pPr>
              <w:pStyle w:val="TableContents"/>
              <w:bidi w:val="0"/>
              <w:spacing w:before="0" w:after="283"/>
              <w:jc w:val="left"/>
              <w:rPr/>
            </w:pPr>
            <w:r>
              <w:rPr/>
              <w:t> </w:t>
            </w:r>
          </w:p>
        </w:tc>
      </w:tr>
      <w:tr>
        <w:trPr/>
        <w:tc>
          <w:tcPr>
            <w:tcW w:w="6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(501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(419</w:t>
            </w:r>
          </w:p>
        </w:tc>
        <w:tc>
          <w:tcPr>
            <w:tcW w:w="159" w:type="dxa"/>
            <w:tcBorders/>
            <w:shd w:fill="CCEEFF" w:val="clear"/>
            <w:vAlign w:val="bottom"/>
          </w:tcPr>
          <w:p>
            <w:pPr>
              <w:pStyle w:val="TableContents"/>
              <w:bidi w:val="0"/>
              <w:spacing w:before="0" w:after="283"/>
              <w:jc w:val="left"/>
              <w:rPr/>
            </w:pPr>
            <w:r>
              <w:rPr/>
              <w:t>) </w:t>
            </w:r>
          </w:p>
        </w:tc>
      </w:tr>
      <w:tr>
        <w:trPr/>
        <w:tc>
          <w:tcPr>
            <w:tcW w:w="693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3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   </w:t>
            </w:r>
            <w:r>
              <w:rPr/>
              <w:t>285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   </w:t>
            </w:r>
            <w:r>
              <w:rPr/>
              <w:t>323</w:t>
            </w:r>
          </w:p>
        </w:tc>
        <w:tc>
          <w:tcPr>
            <w:tcW w:w="159" w:type="dxa"/>
            <w:tcBorders/>
            <w:vAlign w:val="bottom"/>
          </w:tcPr>
          <w:p>
            <w:pPr>
              <w:pStyle w:val="TableContents"/>
              <w:bidi w:val="0"/>
              <w:spacing w:before="0" w:after="283"/>
              <w:jc w:val="left"/>
              <w:rPr/>
            </w:pPr>
            <w:r>
              <w:rPr/>
              <w:t> </w:t>
            </w:r>
          </w:p>
        </w:tc>
      </w:tr>
      <w:tr>
        <w:trPr/>
        <w:tc>
          <w:tcPr>
            <w:tcW w:w="6933"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Depreciation expense for the six months ended June 30, 2024 and 2023 was immaterial.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Expenses and Other Current Liabilities </w:t>
      </w:r>
    </w:p>
    <w:p>
      <w:pPr>
        <w:pStyle w:val="TextBody"/>
        <w:bidi w:val="0"/>
        <w:spacing w:before="120" w:after="0"/>
        <w:jc w:val="both"/>
        <w:rPr>
          <w:rFonts w:ascii="Times New Roman" w:hAnsi="Times New Roman"/>
          <w:sz w:val="20"/>
        </w:rPr>
      </w:pPr>
      <w:r>
        <w:rPr>
          <w:rFonts w:ascii="Times New Roman" w:hAnsi="Times New Roman"/>
          <w:sz w:val="20"/>
        </w:rPr>
        <w:t xml:space="preserve">Accrued expenses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5"/>
        <w:gridCol w:w="224"/>
        <w:gridCol w:w="140"/>
        <w:gridCol w:w="1222"/>
        <w:gridCol w:w="60"/>
        <w:gridCol w:w="224"/>
        <w:gridCol w:w="156"/>
        <w:gridCol w:w="1271"/>
        <w:gridCol w:w="63"/>
      </w:tblGrid>
      <w:tr>
        <w:trPr/>
        <w:tc>
          <w:tcPr>
            <w:tcW w:w="684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4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63" w:type="dxa"/>
            <w:tcBorders/>
            <w:vAlign w:val="bottom"/>
          </w:tcPr>
          <w:p>
            <w:pPr>
              <w:pStyle w:val="TableContents"/>
              <w:bidi w:val="0"/>
              <w:spacing w:before="0" w:after="283"/>
              <w:jc w:val="left"/>
              <w:rPr/>
            </w:pPr>
            <w:r>
              <w:rPr/>
              <w:t> </w:t>
            </w:r>
          </w:p>
        </w:tc>
      </w:tr>
      <w:tr>
        <w:trPr/>
        <w:tc>
          <w:tcPr>
            <w:tcW w:w="6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1,718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2,516</w:t>
            </w:r>
          </w:p>
        </w:tc>
        <w:tc>
          <w:tcPr>
            <w:tcW w:w="63" w:type="dxa"/>
            <w:tcBorders/>
            <w:shd w:fill="CCEEFF" w:val="clear"/>
            <w:vAlign w:val="bottom"/>
          </w:tcPr>
          <w:p>
            <w:pPr>
              <w:pStyle w:val="TableContents"/>
              <w:bidi w:val="0"/>
              <w:spacing w:before="0" w:after="283"/>
              <w:jc w:val="left"/>
              <w:rPr/>
            </w:pPr>
            <w:r>
              <w:rPr/>
              <w:t> </w:t>
            </w:r>
          </w:p>
        </w:tc>
      </w:tr>
      <w:tr>
        <w:trPr/>
        <w:tc>
          <w:tcPr>
            <w:tcW w:w="6845" w:type="dxa"/>
            <w:tcBorders/>
          </w:tcPr>
          <w:p>
            <w:pPr>
              <w:pStyle w:val="TableContents"/>
              <w:bidi w:val="0"/>
              <w:spacing w:before="0" w:after="0"/>
              <w:jc w:val="left"/>
              <w:rPr>
                <w:rFonts w:ascii="Times New Roman" w:hAnsi="Times New Roman"/>
                <w:sz w:val="20"/>
              </w:rPr>
            </w:pPr>
            <w:r>
              <w:rPr>
                <w:rFonts w:ascii="Times New Roman" w:hAnsi="Times New Roman"/>
                <w:sz w:val="20"/>
              </w:rPr>
              <w:t>Payroll and related costs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2,198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4,033</w:t>
            </w:r>
          </w:p>
        </w:tc>
        <w:tc>
          <w:tcPr>
            <w:tcW w:w="63" w:type="dxa"/>
            <w:tcBorders/>
            <w:vAlign w:val="bottom"/>
          </w:tcPr>
          <w:p>
            <w:pPr>
              <w:pStyle w:val="TableContents"/>
              <w:bidi w:val="0"/>
              <w:spacing w:before="0" w:after="283"/>
              <w:jc w:val="left"/>
              <w:rPr/>
            </w:pPr>
            <w:r>
              <w:rPr/>
              <w:t> </w:t>
            </w:r>
          </w:p>
        </w:tc>
      </w:tr>
      <w:tr>
        <w:trPr/>
        <w:tc>
          <w:tcPr>
            <w:tcW w:w="6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1,302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1,389</w:t>
            </w:r>
          </w:p>
        </w:tc>
        <w:tc>
          <w:tcPr>
            <w:tcW w:w="63" w:type="dxa"/>
            <w:tcBorders/>
            <w:shd w:fill="CCEEFF" w:val="clear"/>
            <w:vAlign w:val="bottom"/>
          </w:tcPr>
          <w:p>
            <w:pPr>
              <w:pStyle w:val="TableContents"/>
              <w:bidi w:val="0"/>
              <w:spacing w:before="0" w:after="283"/>
              <w:jc w:val="left"/>
              <w:rPr/>
            </w:pPr>
            <w:r>
              <w:rPr/>
              <w:t> </w:t>
            </w:r>
          </w:p>
        </w:tc>
      </w:tr>
      <w:tr>
        <w:trPr/>
        <w:tc>
          <w:tcPr>
            <w:tcW w:w="684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45"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   </w:t>
            </w:r>
            <w:r>
              <w:rPr/>
              <w:t>5,218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71" w:type="dxa"/>
            <w:tcBorders/>
            <w:vAlign w:val="bottom"/>
          </w:tcPr>
          <w:p>
            <w:pPr>
              <w:pStyle w:val="TableContents"/>
              <w:bidi w:val="0"/>
              <w:spacing w:before="0" w:after="283"/>
              <w:jc w:val="right"/>
              <w:rPr/>
            </w:pPr>
            <w:r>
              <w:rPr/>
              <w:t>   </w:t>
            </w:r>
            <w:r>
              <w:rPr/>
              <w:t>7,938</w:t>
            </w:r>
          </w:p>
        </w:tc>
        <w:tc>
          <w:tcPr>
            <w:tcW w:w="63" w:type="dxa"/>
            <w:tcBorders/>
            <w:vAlign w:val="bottom"/>
          </w:tcPr>
          <w:p>
            <w:pPr>
              <w:pStyle w:val="TableContents"/>
              <w:bidi w:val="0"/>
              <w:spacing w:before="0" w:after="283"/>
              <w:jc w:val="left"/>
              <w:rPr/>
            </w:pPr>
            <w:r>
              <w:rPr/>
              <w:t> </w:t>
            </w:r>
          </w:p>
        </w:tc>
      </w:tr>
      <w:tr>
        <w:trPr/>
        <w:tc>
          <w:tcPr>
            <w:tcW w:w="684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127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5. Debt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Convertible Promissory Notes </w:t>
      </w:r>
    </w:p>
    <w:p>
      <w:pPr>
        <w:pStyle w:val="TextBody"/>
        <w:bidi w:val="0"/>
        <w:spacing w:before="120" w:after="0"/>
        <w:jc w:val="both"/>
        <w:rPr>
          <w:rFonts w:ascii="Times New Roman" w:hAnsi="Times New Roman"/>
          <w:sz w:val="20"/>
        </w:rPr>
      </w:pPr>
      <w:r>
        <w:rPr>
          <w:rFonts w:ascii="Times New Roman" w:hAnsi="Times New Roman"/>
          <w:sz w:val="20"/>
        </w:rPr>
        <w:t xml:space="preserve">In February 2023, the Company issued four convertible promissory notes with an aggregate principal amount of $23.5 million. Each note has an interest rate of 4% per annum and a maturity date of May 10, 2024 (the Convertible Promissory Notes). The notes and any accrued but unpaid interest were convertible at either the date of a qualified financing of at least $20.0 million (a Qualified Financing), or on the maturity date, at the option of the respective holder, and are convertible into the same securities issued in the Qualified Financing, or if no qualified financing occurs prior to maturity, then shall be convertible into the Companys Series C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Upon a Qualified Financing, the Convertible Promissory Notes automatically convert into shares of the Companys redeemable convertible preferred stock on the same conditions applicable for the Qualified Financing at a conversion price equal to the lowest price per share paid in the Qualified Financing multiplied by a discount factor ranging from 0.6 to 1.0 depending on the timing of the Qualified Financing. </w:t>
      </w:r>
    </w:p>
    <w:p>
      <w:pPr>
        <w:pStyle w:val="TextBody"/>
        <w:bidi w:val="0"/>
        <w:spacing w:before="240" w:after="0"/>
        <w:jc w:val="both"/>
        <w:rPr>
          <w:rFonts w:ascii="Times New Roman" w:hAnsi="Times New Roman"/>
          <w:sz w:val="20"/>
        </w:rPr>
      </w:pPr>
      <w:r>
        <w:rPr>
          <w:rFonts w:ascii="Times New Roman" w:hAnsi="Times New Roman"/>
          <w:sz w:val="20"/>
        </w:rPr>
        <w:t xml:space="preserve">On February 1, 2024, in connection with the closing of the Series D redeemable convertible preferred stock financing, the Convertible Promissory Notes (including accrued interest) and related embedded derivative liability converted into 11,887,535 shares of Series D-1 redeemable convertible preferred stock at a discount factor of 0.6 relative to the price paid by the Series D investors. The conversion resulted in a $0.3 million loss on extinguishment of the Convertible Promissory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Term Loan </w:t>
      </w:r>
    </w:p>
    <w:p>
      <w:pPr>
        <w:pStyle w:val="TextBody"/>
        <w:bidi w:val="0"/>
        <w:spacing w:before="120" w:after="0"/>
        <w:jc w:val="both"/>
        <w:rPr>
          <w:rFonts w:ascii="Times New Roman" w:hAnsi="Times New Roman"/>
          <w:sz w:val="20"/>
        </w:rPr>
      </w:pPr>
      <w:r>
        <w:rPr>
          <w:rFonts w:ascii="Times New Roman" w:hAnsi="Times New Roman"/>
          <w:sz w:val="20"/>
        </w:rPr>
        <w:t xml:space="preserve">In May 2022, the Company entered into a loan and security agreement (the Loan Agreement) with SVB Innovative Credit Growth Fund IX, LP and Innovative Credit Growth Fund VIII-A, LP, (collectively, the Lenders) pursuant to which the Company was eligible to borrow, and the Lenders are obligated to fund up to $25.0 million in borrowing capacity across two potential tranches (the Term Loan). At the closing of the Loan Agreement in May 2022, the Company drew $2.5 million from the first tranche (the Initial Term Loan) and in May 2023 the Company drew $12.5 million from the second tranche (the Additional Term Loan).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Initial Term Loan of $2.5 million, the Company issued to the Lenders warrants to purchase 19,420 shares of the Companys common stock. The warrants expire on May 20, 2032 and had a fair value of $125,602 at issuance. Similarly, in connection with the Additional Term Loan draw, the Company issued additional warrants to purchase 5,548 shares of the Companys common stock. The warrants expire on May 20, 2032 and had a fair value of $37,050 at issuance. As a result, proceeds from the debt equal to the fair value were allocated to these warrants and are amortized as part of the debt discount over the life of the Term Loan. </w:t>
      </w:r>
    </w:p>
    <w:p>
      <w:pPr>
        <w:pStyle w:val="TextBody"/>
        <w:bidi w:val="0"/>
        <w:spacing w:before="240" w:after="0"/>
        <w:jc w:val="both"/>
        <w:rPr>
          <w:rFonts w:ascii="Times New Roman" w:hAnsi="Times New Roman"/>
          <w:sz w:val="20"/>
        </w:rPr>
      </w:pPr>
      <w:r>
        <w:rPr>
          <w:rFonts w:ascii="Times New Roman" w:hAnsi="Times New Roman"/>
          <w:sz w:val="20"/>
        </w:rPr>
        <w:t xml:space="preserve">Interest for the Term Loan accrues at a floating per annum rate equal to the greater of (i) the Prime rate plus 4.00% or (ii) 7.50%. Interest is due monthly on the first business day of each month, commencing in June 2022. The Term Loan is scheduled to mature on April 1, 2026 and commencing on November 1, 2023 the Company is required to make monthly principal payments. The Company may prepay all of the outstanding principal balance of the Term Loan, at its option, prior to the maturity date subject to a prepayment premium ranging from 1.0% to 2.0%. The prepayment premium will apply to any mandatory or voluntary prepayment, but will not be due upon a refinancing of the outstanding Term Loan with another credit facility from SVB. In addition, the Company will also be required to pay a final payment fee equal to 4.4% of the total amount borrowed. </w:t>
      </w:r>
    </w:p>
    <w:p>
      <w:pPr>
        <w:pStyle w:val="TextBody"/>
        <w:bidi w:val="0"/>
        <w:spacing w:before="240" w:after="0"/>
        <w:jc w:val="both"/>
        <w:rPr>
          <w:rFonts w:ascii="Times New Roman" w:hAnsi="Times New Roman"/>
          <w:sz w:val="20"/>
        </w:rPr>
      </w:pPr>
      <w:r>
        <w:rPr>
          <w:rFonts w:ascii="Times New Roman" w:hAnsi="Times New Roman"/>
          <w:sz w:val="20"/>
        </w:rPr>
        <w:t xml:space="preserve">The Companys obligations under the Loan Agreement are subject to acceleration upon the occurrence of customary events of default, including payment default, insolvency and the occurrence of certain events having a material adverse effect on the Company, including (but not limited to) material adverse effects upon the business, operations, properties, assets or financial condition of the Company and its subsidiaries, taken as a whole. </w:t>
      </w:r>
    </w:p>
    <w:p>
      <w:pPr>
        <w:pStyle w:val="TextBody"/>
        <w:bidi w:val="0"/>
        <w:spacing w:before="240" w:after="0"/>
        <w:jc w:val="both"/>
        <w:rPr>
          <w:rFonts w:ascii="Times New Roman" w:hAnsi="Times New Roman"/>
          <w:sz w:val="20"/>
        </w:rPr>
      </w:pPr>
      <w:r>
        <w:rPr>
          <w:rFonts w:ascii="Times New Roman" w:hAnsi="Times New Roman"/>
          <w:sz w:val="20"/>
        </w:rPr>
        <w:t xml:space="preserve">The Loan Agreement includes positive and negative covenants that the Company must comply with and is secured by the assets of the Company that are pledged as collateral. </w:t>
      </w:r>
    </w:p>
    <w:p>
      <w:pPr>
        <w:pStyle w:val="TextBody"/>
        <w:bidi w:val="0"/>
        <w:spacing w:before="240" w:after="0"/>
        <w:jc w:val="both"/>
        <w:rPr>
          <w:rFonts w:ascii="Times New Roman" w:hAnsi="Times New Roman"/>
          <w:sz w:val="20"/>
        </w:rPr>
      </w:pPr>
      <w:r>
        <w:rPr>
          <w:rFonts w:ascii="Times New Roman" w:hAnsi="Times New Roman"/>
          <w:sz w:val="20"/>
        </w:rPr>
        <w:t xml:space="preserve">Debt issuance costs, including the fair value of the warrants, have been treated as debt discounts in the condensed consolidated balance sheet and together with the final payment are being amortized to interest expense throughout the life of the Term Loan using the effective interest rate method. As of June 30, 2024 and December 31, 2023, there were unamortized issuance costs and debt discounts of less than $0.1 million, which are recorded as a direct deduction from the Term Loan on the condensed consolidated balance sheet. Interest expense related to the Loan Agreement was $1.0 million and $0.3 million for the six months ended June 30, 2024 and 2023, respectively. As of June 30, 2024 the stated rate on the Term Loan was 12.5%. As of June 30, 2024, the effective interest rate on the Term Loan, including the amortization of the debt discount and accretion of the final payment, was 16.8% for the Initial Term Loan and 15.2% Additional Term Loan. The carrying amount of the Term Loan is subject to variable interest rates, which are based on current market rates, and as such, approximate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components of the Term Loan balance were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76"/>
        <w:gridCol w:w="234"/>
        <w:gridCol w:w="152"/>
        <w:gridCol w:w="1382"/>
        <w:gridCol w:w="161"/>
      </w:tblGrid>
      <w:tr>
        <w:trPr/>
        <w:tc>
          <w:tcPr>
            <w:tcW w:w="8276"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7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2024</w:t>
            </w:r>
          </w:p>
        </w:tc>
        <w:tc>
          <w:tcPr>
            <w:tcW w:w="161" w:type="dxa"/>
            <w:tcBorders/>
            <w:vAlign w:val="bottom"/>
          </w:tcPr>
          <w:p>
            <w:pPr>
              <w:pStyle w:val="TableContents"/>
              <w:bidi w:val="0"/>
              <w:spacing w:before="0" w:after="283"/>
              <w:jc w:val="left"/>
              <w:rPr/>
            </w:pPr>
            <w:r>
              <w:rPr/>
              <w:t> </w:t>
            </w:r>
          </w:p>
        </w:tc>
      </w:tr>
      <w:tr>
        <w:trPr/>
        <w:tc>
          <w:tcPr>
            <w:tcW w:w="8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loan balance</w:t>
            </w:r>
          </w:p>
        </w:tc>
        <w:tc>
          <w:tcPr>
            <w:tcW w:w="23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82" w:type="dxa"/>
            <w:tcBorders/>
            <w:shd w:fill="CCEEFF" w:val="clear"/>
            <w:vAlign w:val="bottom"/>
          </w:tcPr>
          <w:p>
            <w:pPr>
              <w:pStyle w:val="TableContents"/>
              <w:bidi w:val="0"/>
              <w:spacing w:before="0" w:after="283"/>
              <w:jc w:val="right"/>
              <w:rPr/>
            </w:pPr>
            <w:r>
              <w:rPr/>
              <w:t>   </w:t>
            </w:r>
            <w:r>
              <w:rPr/>
              <w:t>11,000</w:t>
            </w:r>
          </w:p>
        </w:tc>
        <w:tc>
          <w:tcPr>
            <w:tcW w:w="161" w:type="dxa"/>
            <w:tcBorders/>
            <w:shd w:fill="CCEEFF" w:val="clear"/>
            <w:vAlign w:val="bottom"/>
          </w:tcPr>
          <w:p>
            <w:pPr>
              <w:pStyle w:val="TableContents"/>
              <w:bidi w:val="0"/>
              <w:spacing w:before="0" w:after="283"/>
              <w:jc w:val="left"/>
              <w:rPr/>
            </w:pPr>
            <w:r>
              <w:rPr/>
              <w:t> </w:t>
            </w:r>
          </w:p>
        </w:tc>
      </w:tr>
      <w:tr>
        <w:trPr/>
        <w:tc>
          <w:tcPr>
            <w:tcW w:w="8276" w:type="dxa"/>
            <w:tcBorders/>
          </w:tcPr>
          <w:p>
            <w:pPr>
              <w:pStyle w:val="TableContents"/>
              <w:bidi w:val="0"/>
              <w:spacing w:before="0" w:after="0"/>
              <w:jc w:val="left"/>
              <w:rPr>
                <w:rFonts w:ascii="Times New Roman" w:hAnsi="Times New Roman"/>
                <w:sz w:val="20"/>
              </w:rPr>
            </w:pPr>
            <w:r>
              <w:rPr>
                <w:rFonts w:ascii="Times New Roman" w:hAnsi="Times New Roman"/>
                <w:sz w:val="20"/>
              </w:rPr>
              <w:t>Final fee</w:t>
            </w:r>
          </w:p>
        </w:tc>
        <w:tc>
          <w:tcPr>
            <w:tcW w:w="23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433</w:t>
            </w:r>
          </w:p>
        </w:tc>
        <w:tc>
          <w:tcPr>
            <w:tcW w:w="161" w:type="dxa"/>
            <w:tcBorders/>
            <w:vAlign w:val="bottom"/>
          </w:tcPr>
          <w:p>
            <w:pPr>
              <w:pStyle w:val="TableContents"/>
              <w:bidi w:val="0"/>
              <w:spacing w:before="0" w:after="283"/>
              <w:jc w:val="left"/>
              <w:rPr/>
            </w:pPr>
            <w:r>
              <w:rPr/>
              <w:t> </w:t>
            </w:r>
          </w:p>
        </w:tc>
      </w:tr>
      <w:tr>
        <w:trPr/>
        <w:tc>
          <w:tcPr>
            <w:tcW w:w="8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discount</w:t>
            </w:r>
          </w:p>
        </w:tc>
        <w:tc>
          <w:tcPr>
            <w:tcW w:w="23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(62</w:t>
            </w:r>
          </w:p>
        </w:tc>
        <w:tc>
          <w:tcPr>
            <w:tcW w:w="161" w:type="dxa"/>
            <w:tcBorders/>
            <w:shd w:fill="CCEEFF" w:val="clear"/>
            <w:vAlign w:val="bottom"/>
          </w:tcPr>
          <w:p>
            <w:pPr>
              <w:pStyle w:val="TableContents"/>
              <w:bidi w:val="0"/>
              <w:spacing w:before="0" w:after="283"/>
              <w:jc w:val="left"/>
              <w:rPr/>
            </w:pPr>
            <w:r>
              <w:rPr/>
              <w:t>) </w:t>
            </w:r>
          </w:p>
        </w:tc>
      </w:tr>
      <w:tr>
        <w:trPr/>
        <w:tc>
          <w:tcPr>
            <w:tcW w:w="827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8276" w:type="dxa"/>
            <w:tcBorders/>
          </w:tcPr>
          <w:p>
            <w:pPr>
              <w:pStyle w:val="TableContents"/>
              <w:bidi w:val="0"/>
              <w:spacing w:before="0" w:after="0"/>
              <w:jc w:val="left"/>
              <w:rPr>
                <w:rFonts w:ascii="Times New Roman" w:hAnsi="Times New Roman"/>
                <w:sz w:val="20"/>
              </w:rPr>
            </w:pPr>
            <w:r>
              <w:rPr>
                <w:rFonts w:ascii="Times New Roman" w:hAnsi="Times New Roman"/>
                <w:sz w:val="20"/>
              </w:rPr>
              <w:t>Total Term Loan</w:t>
            </w:r>
          </w:p>
        </w:tc>
        <w:tc>
          <w:tcPr>
            <w:tcW w:w="23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82" w:type="dxa"/>
            <w:tcBorders/>
            <w:vAlign w:val="bottom"/>
          </w:tcPr>
          <w:p>
            <w:pPr>
              <w:pStyle w:val="TableContents"/>
              <w:bidi w:val="0"/>
              <w:spacing w:before="0" w:after="283"/>
              <w:jc w:val="right"/>
              <w:rPr/>
            </w:pPr>
            <w:r>
              <w:rPr/>
              <w:t>11,371</w:t>
            </w:r>
          </w:p>
        </w:tc>
        <w:tc>
          <w:tcPr>
            <w:tcW w:w="161" w:type="dxa"/>
            <w:tcBorders/>
            <w:vAlign w:val="bottom"/>
          </w:tcPr>
          <w:p>
            <w:pPr>
              <w:pStyle w:val="TableContents"/>
              <w:bidi w:val="0"/>
              <w:spacing w:before="0" w:after="283"/>
              <w:jc w:val="left"/>
              <w:rPr/>
            </w:pPr>
            <w:r>
              <w:rPr/>
              <w:t> </w:t>
            </w:r>
          </w:p>
        </w:tc>
      </w:tr>
      <w:tr>
        <w:trPr/>
        <w:tc>
          <w:tcPr>
            <w:tcW w:w="8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of Term loan</w:t>
            </w:r>
          </w:p>
        </w:tc>
        <w:tc>
          <w:tcPr>
            <w:tcW w:w="234"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(6,000</w:t>
            </w:r>
          </w:p>
        </w:tc>
        <w:tc>
          <w:tcPr>
            <w:tcW w:w="161" w:type="dxa"/>
            <w:tcBorders/>
            <w:shd w:fill="CCEEFF" w:val="clear"/>
            <w:vAlign w:val="bottom"/>
          </w:tcPr>
          <w:p>
            <w:pPr>
              <w:pStyle w:val="TableContents"/>
              <w:bidi w:val="0"/>
              <w:spacing w:before="0" w:after="283"/>
              <w:jc w:val="left"/>
              <w:rPr/>
            </w:pPr>
            <w:r>
              <w:rPr/>
              <w:t>) </w:t>
            </w:r>
          </w:p>
        </w:tc>
      </w:tr>
      <w:tr>
        <w:trPr/>
        <w:tc>
          <w:tcPr>
            <w:tcW w:w="827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8276" w:type="dxa"/>
            <w:tcBorders/>
          </w:tcPr>
          <w:p>
            <w:pPr>
              <w:pStyle w:val="TableContents"/>
              <w:bidi w:val="0"/>
              <w:spacing w:before="0" w:after="0"/>
              <w:jc w:val="left"/>
              <w:rPr>
                <w:rFonts w:ascii="Times New Roman" w:hAnsi="Times New Roman"/>
                <w:sz w:val="20"/>
              </w:rPr>
            </w:pPr>
            <w:r>
              <w:rPr>
                <w:rFonts w:ascii="Times New Roman" w:hAnsi="Times New Roman"/>
                <w:sz w:val="20"/>
              </w:rPr>
              <w:t>Term loan</w:t>
            </w:r>
          </w:p>
        </w:tc>
        <w:tc>
          <w:tcPr>
            <w:tcW w:w="234"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82" w:type="dxa"/>
            <w:tcBorders/>
            <w:vAlign w:val="bottom"/>
          </w:tcPr>
          <w:p>
            <w:pPr>
              <w:pStyle w:val="TableContents"/>
              <w:bidi w:val="0"/>
              <w:spacing w:before="0" w:after="283"/>
              <w:jc w:val="right"/>
              <w:rPr/>
            </w:pPr>
            <w:r>
              <w:rPr/>
              <w:t>5,371</w:t>
            </w:r>
          </w:p>
        </w:tc>
        <w:tc>
          <w:tcPr>
            <w:tcW w:w="161" w:type="dxa"/>
            <w:tcBorders/>
            <w:vAlign w:val="bottom"/>
          </w:tcPr>
          <w:p>
            <w:pPr>
              <w:pStyle w:val="TableContents"/>
              <w:bidi w:val="0"/>
              <w:spacing w:before="0" w:after="283"/>
              <w:jc w:val="left"/>
              <w:rPr/>
            </w:pPr>
            <w:r>
              <w:rPr/>
              <w:t> </w:t>
            </w:r>
          </w:p>
        </w:tc>
      </w:tr>
      <w:tr>
        <w:trPr/>
        <w:tc>
          <w:tcPr>
            <w:tcW w:w="827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8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June 30, 2024, the estimated future principal payments under the Term Loan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70"/>
        <w:gridCol w:w="312"/>
        <w:gridCol w:w="169"/>
        <w:gridCol w:w="1390"/>
        <w:gridCol w:w="64"/>
      </w:tblGrid>
      <w:tr>
        <w:trPr/>
        <w:tc>
          <w:tcPr>
            <w:tcW w:w="827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2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312"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Principal</w:t>
              <w:br/>
              <w:t>Payments</w:t>
            </w:r>
          </w:p>
        </w:tc>
        <w:tc>
          <w:tcPr>
            <w:tcW w:w="64" w:type="dxa"/>
            <w:tcBorders/>
            <w:vAlign w:val="bottom"/>
          </w:tcPr>
          <w:p>
            <w:pPr>
              <w:pStyle w:val="TableContents"/>
              <w:bidi w:val="0"/>
              <w:spacing w:before="0" w:after="283"/>
              <w:jc w:val="left"/>
              <w:rPr/>
            </w:pPr>
            <w:r>
              <w:rPr/>
              <w:t> </w:t>
            </w:r>
          </w:p>
        </w:tc>
      </w:tr>
      <w:tr>
        <w:trPr/>
        <w:tc>
          <w:tcPr>
            <w:tcW w:w="8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(excluding the six months ended June 30, 2024)</w:t>
            </w:r>
          </w:p>
        </w:tc>
        <w:tc>
          <w:tcPr>
            <w:tcW w:w="3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   </w:t>
            </w:r>
            <w:r>
              <w:rPr/>
              <w:t>3,000</w:t>
            </w:r>
          </w:p>
        </w:tc>
        <w:tc>
          <w:tcPr>
            <w:tcW w:w="64" w:type="dxa"/>
            <w:tcBorders/>
            <w:shd w:fill="CCEEFF" w:val="clear"/>
            <w:vAlign w:val="bottom"/>
          </w:tcPr>
          <w:p>
            <w:pPr>
              <w:pStyle w:val="TableContents"/>
              <w:bidi w:val="0"/>
              <w:spacing w:before="0" w:after="283"/>
              <w:jc w:val="left"/>
              <w:rPr/>
            </w:pPr>
            <w:r>
              <w:rPr/>
              <w:t> </w:t>
            </w:r>
          </w:p>
        </w:tc>
      </w:tr>
      <w:tr>
        <w:trPr/>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3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6,000</w:t>
            </w:r>
          </w:p>
        </w:tc>
        <w:tc>
          <w:tcPr>
            <w:tcW w:w="64" w:type="dxa"/>
            <w:tcBorders/>
            <w:vAlign w:val="bottom"/>
          </w:tcPr>
          <w:p>
            <w:pPr>
              <w:pStyle w:val="TableContents"/>
              <w:bidi w:val="0"/>
              <w:spacing w:before="0" w:after="283"/>
              <w:jc w:val="left"/>
              <w:rPr/>
            </w:pPr>
            <w:r>
              <w:rPr/>
              <w:t> </w:t>
            </w:r>
          </w:p>
        </w:tc>
      </w:tr>
      <w:tr>
        <w:trPr/>
        <w:tc>
          <w:tcPr>
            <w:tcW w:w="8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1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2,000</w:t>
            </w:r>
          </w:p>
        </w:tc>
        <w:tc>
          <w:tcPr>
            <w:tcW w:w="64" w:type="dxa"/>
            <w:tcBorders/>
            <w:shd w:fill="CCEEFF" w:val="clear"/>
            <w:vAlign w:val="bottom"/>
          </w:tcPr>
          <w:p>
            <w:pPr>
              <w:pStyle w:val="TableContents"/>
              <w:bidi w:val="0"/>
              <w:spacing w:before="0" w:after="283"/>
              <w:jc w:val="left"/>
              <w:rPr/>
            </w:pPr>
            <w:r>
              <w:rPr/>
              <w:t> </w:t>
            </w:r>
          </w:p>
        </w:tc>
      </w:tr>
      <w:tr>
        <w:trPr/>
        <w:tc>
          <w:tcPr>
            <w:tcW w:w="827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 of Term Loan</w:t>
            </w:r>
          </w:p>
        </w:tc>
        <w:tc>
          <w:tcPr>
            <w:tcW w:w="31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11,000</w:t>
            </w:r>
          </w:p>
        </w:tc>
        <w:tc>
          <w:tcPr>
            <w:tcW w:w="64" w:type="dxa"/>
            <w:tcBorders/>
            <w:vAlign w:val="bottom"/>
          </w:tcPr>
          <w:p>
            <w:pPr>
              <w:pStyle w:val="TableContents"/>
              <w:bidi w:val="0"/>
              <w:spacing w:before="0" w:after="283"/>
              <w:jc w:val="left"/>
              <w:rPr/>
            </w:pPr>
            <w:r>
              <w:rPr/>
              <w:t> </w:t>
            </w:r>
          </w:p>
        </w:tc>
      </w:tr>
      <w:tr>
        <w:trPr/>
        <w:tc>
          <w:tcPr>
            <w:tcW w:w="827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Capital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Redeemable convertible preferred stock consisted of the following as of June 30, 2024 (in thousands, except share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1"/>
        <w:gridCol w:w="215"/>
        <w:gridCol w:w="96"/>
        <w:gridCol w:w="1807"/>
        <w:gridCol w:w="60"/>
        <w:gridCol w:w="215"/>
        <w:gridCol w:w="99"/>
        <w:gridCol w:w="1851"/>
        <w:gridCol w:w="60"/>
        <w:gridCol w:w="215"/>
        <w:gridCol w:w="140"/>
        <w:gridCol w:w="1442"/>
        <w:gridCol w:w="60"/>
        <w:gridCol w:w="214"/>
        <w:gridCol w:w="140"/>
        <w:gridCol w:w="1401"/>
        <w:gridCol w:w="69"/>
      </w:tblGrid>
      <w:tr>
        <w:trPr/>
        <w:tc>
          <w:tcPr>
            <w:tcW w:w="212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12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and</w:t>
              <w:br/>
              <w:t>Outstanding</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Authorized</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Liquidation</w:t>
              <w:br/>
              <w:t>Preference</w:t>
            </w:r>
          </w:p>
        </w:tc>
        <w:tc>
          <w:tcPr>
            <w:tcW w:w="69" w:type="dxa"/>
            <w:tcBorders/>
            <w:vAlign w:val="bottom"/>
          </w:tcPr>
          <w:p>
            <w:pPr>
              <w:pStyle w:val="TableContents"/>
              <w:bidi w:val="0"/>
              <w:spacing w:before="0" w:after="283"/>
              <w:jc w:val="left"/>
              <w:rPr/>
            </w:pPr>
            <w:r>
              <w:rPr/>
              <w:t> </w:t>
            </w:r>
          </w:p>
        </w:tc>
      </w:tr>
      <w:tr>
        <w:trPr/>
        <w:tc>
          <w:tcPr>
            <w:tcW w:w="2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1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pPr>
            <w:r>
              <w:rPr/>
              <w:t>4,753,466</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51" w:type="dxa"/>
            <w:tcBorders/>
            <w:shd w:fill="CCEEFF" w:val="clear"/>
            <w:vAlign w:val="bottom"/>
          </w:tcPr>
          <w:p>
            <w:pPr>
              <w:pStyle w:val="TableContents"/>
              <w:bidi w:val="0"/>
              <w:spacing w:before="0" w:after="283"/>
              <w:jc w:val="right"/>
              <w:rPr/>
            </w:pPr>
            <w:r>
              <w:rPr/>
              <w:t>4,753,466</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2" w:type="dxa"/>
            <w:tcBorders/>
            <w:shd w:fill="CCEEFF" w:val="clear"/>
            <w:vAlign w:val="bottom"/>
          </w:tcPr>
          <w:p>
            <w:pPr>
              <w:pStyle w:val="TableContents"/>
              <w:bidi w:val="0"/>
              <w:spacing w:before="0" w:after="283"/>
              <w:jc w:val="right"/>
              <w:rPr/>
            </w:pPr>
            <w:r>
              <w:rPr/>
              <w:t>11,558</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11,822</w:t>
            </w:r>
          </w:p>
        </w:tc>
        <w:tc>
          <w:tcPr>
            <w:tcW w:w="69" w:type="dxa"/>
            <w:tcBorders/>
            <w:shd w:fill="CCEEFF" w:val="clear"/>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right"/>
              <w:rPr/>
            </w:pPr>
            <w:r>
              <w:rPr/>
              <w:t>2,948,071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51" w:type="dxa"/>
            <w:tcBorders/>
            <w:vAlign w:val="bottom"/>
          </w:tcPr>
          <w:p>
            <w:pPr>
              <w:pStyle w:val="TableContents"/>
              <w:bidi w:val="0"/>
              <w:spacing w:before="0" w:after="283"/>
              <w:jc w:val="right"/>
              <w:rPr/>
            </w:pPr>
            <w:r>
              <w:rPr/>
              <w:t>2,948,071</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3,085</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1,808</w:t>
            </w:r>
          </w:p>
        </w:tc>
        <w:tc>
          <w:tcPr>
            <w:tcW w:w="69" w:type="dxa"/>
            <w:tcBorders/>
            <w:vAlign w:val="bottom"/>
          </w:tcPr>
          <w:p>
            <w:pPr>
              <w:pStyle w:val="TableContents"/>
              <w:bidi w:val="0"/>
              <w:spacing w:before="0" w:after="283"/>
              <w:jc w:val="left"/>
              <w:rPr/>
            </w:pPr>
            <w:r>
              <w:rPr/>
              <w:t> </w:t>
            </w:r>
          </w:p>
        </w:tc>
      </w:tr>
      <w:tr>
        <w:trPr/>
        <w:tc>
          <w:tcPr>
            <w:tcW w:w="2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A-3</w:t>
            </w:r>
          </w:p>
        </w:tc>
        <w:tc>
          <w:tcPr>
            <w:tcW w:w="21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pPr>
            <w:r>
              <w:rPr/>
              <w:t>203,821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51" w:type="dxa"/>
            <w:tcBorders/>
            <w:shd w:fill="CCEEFF" w:val="clear"/>
            <w:vAlign w:val="bottom"/>
          </w:tcPr>
          <w:p>
            <w:pPr>
              <w:pStyle w:val="TableContents"/>
              <w:bidi w:val="0"/>
              <w:spacing w:before="0" w:after="283"/>
              <w:jc w:val="right"/>
              <w:rPr/>
            </w:pPr>
            <w:r>
              <w:rPr/>
              <w:t>203,821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250</w:t>
            </w:r>
          </w:p>
        </w:tc>
        <w:tc>
          <w:tcPr>
            <w:tcW w:w="69" w:type="dxa"/>
            <w:tcBorders/>
            <w:shd w:fill="CCEEFF" w:val="clear"/>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Series A-4</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right"/>
              <w:rPr/>
            </w:pPr>
            <w:r>
              <w:rPr/>
              <w:t>27,643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51" w:type="dxa"/>
            <w:tcBorders/>
            <w:vAlign w:val="bottom"/>
          </w:tcPr>
          <w:p>
            <w:pPr>
              <w:pStyle w:val="TableContents"/>
              <w:bidi w:val="0"/>
              <w:spacing w:before="0" w:after="283"/>
              <w:jc w:val="right"/>
              <w:rPr/>
            </w:pPr>
            <w:r>
              <w:rPr/>
              <w:t>27,643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55</w:t>
            </w:r>
          </w:p>
        </w:tc>
        <w:tc>
          <w:tcPr>
            <w:tcW w:w="69" w:type="dxa"/>
            <w:tcBorders/>
            <w:vAlign w:val="bottom"/>
          </w:tcPr>
          <w:p>
            <w:pPr>
              <w:pStyle w:val="TableContents"/>
              <w:bidi w:val="0"/>
              <w:spacing w:before="0" w:after="283"/>
              <w:jc w:val="left"/>
              <w:rPr/>
            </w:pPr>
            <w:r>
              <w:rPr/>
              <w:t> </w:t>
            </w:r>
          </w:p>
        </w:tc>
      </w:tr>
      <w:tr>
        <w:trPr/>
        <w:tc>
          <w:tcPr>
            <w:tcW w:w="2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21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pPr>
            <w:r>
              <w:rPr/>
              <w:t>7,455,241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51" w:type="dxa"/>
            <w:tcBorders/>
            <w:shd w:fill="CCEEFF" w:val="clear"/>
            <w:vAlign w:val="bottom"/>
          </w:tcPr>
          <w:p>
            <w:pPr>
              <w:pStyle w:val="TableContents"/>
              <w:bidi w:val="0"/>
              <w:spacing w:before="0" w:after="283"/>
              <w:jc w:val="right"/>
              <w:rPr/>
            </w:pPr>
            <w:r>
              <w:rPr/>
              <w:t>7,455,241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22,854</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22,929</w:t>
            </w:r>
          </w:p>
        </w:tc>
        <w:tc>
          <w:tcPr>
            <w:tcW w:w="69" w:type="dxa"/>
            <w:tcBorders/>
            <w:shd w:fill="CCEEFF" w:val="clear"/>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right"/>
              <w:rPr/>
            </w:pPr>
            <w:r>
              <w:rPr/>
              <w:t>16,076,886</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51" w:type="dxa"/>
            <w:tcBorders/>
            <w:vAlign w:val="bottom"/>
          </w:tcPr>
          <w:p>
            <w:pPr>
              <w:pStyle w:val="TableContents"/>
              <w:bidi w:val="0"/>
              <w:spacing w:before="0" w:after="283"/>
              <w:jc w:val="right"/>
              <w:rPr/>
            </w:pPr>
            <w:r>
              <w:rPr/>
              <w:t>16,076,886</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94,904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95,000</w:t>
            </w:r>
          </w:p>
        </w:tc>
        <w:tc>
          <w:tcPr>
            <w:tcW w:w="69" w:type="dxa"/>
            <w:tcBorders/>
            <w:vAlign w:val="bottom"/>
          </w:tcPr>
          <w:p>
            <w:pPr>
              <w:pStyle w:val="TableContents"/>
              <w:bidi w:val="0"/>
              <w:spacing w:before="0" w:after="283"/>
              <w:jc w:val="left"/>
              <w:rPr/>
            </w:pPr>
            <w:r>
              <w:rPr/>
              <w:t> </w:t>
            </w:r>
          </w:p>
        </w:tc>
      </w:tr>
      <w:tr>
        <w:trPr/>
        <w:tc>
          <w:tcPr>
            <w:tcW w:w="2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21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pPr>
            <w:r>
              <w:rPr/>
              <w:t>49,713,402</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51" w:type="dxa"/>
            <w:tcBorders/>
            <w:shd w:fill="CCEEFF" w:val="clear"/>
            <w:vAlign w:val="bottom"/>
          </w:tcPr>
          <w:p>
            <w:pPr>
              <w:pStyle w:val="TableContents"/>
              <w:bidi w:val="0"/>
              <w:spacing w:before="0" w:after="283"/>
              <w:jc w:val="right"/>
              <w:rPr/>
            </w:pPr>
            <w:r>
              <w:rPr/>
              <w:t>49,713,403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169,458</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170,000</w:t>
            </w:r>
          </w:p>
        </w:tc>
        <w:tc>
          <w:tcPr>
            <w:tcW w:w="69" w:type="dxa"/>
            <w:tcBorders/>
            <w:shd w:fill="CCEEFF" w:val="clear"/>
            <w:vAlign w:val="bottom"/>
          </w:tcPr>
          <w:p>
            <w:pPr>
              <w:pStyle w:val="TableContents"/>
              <w:bidi w:val="0"/>
              <w:spacing w:before="0" w:after="283"/>
              <w:jc w:val="left"/>
              <w:rPr/>
            </w:pPr>
            <w:r>
              <w:rPr/>
              <w:t> </w:t>
            </w:r>
          </w:p>
        </w:tc>
      </w:tr>
      <w:tr>
        <w:trPr/>
        <w:tc>
          <w:tcPr>
            <w:tcW w:w="2121" w:type="dxa"/>
            <w:tcBorders/>
          </w:tcPr>
          <w:p>
            <w:pPr>
              <w:pStyle w:val="TableContents"/>
              <w:bidi w:val="0"/>
              <w:spacing w:before="0" w:after="0"/>
              <w:jc w:val="left"/>
              <w:rPr>
                <w:rFonts w:ascii="Times New Roman" w:hAnsi="Times New Roman"/>
                <w:sz w:val="20"/>
              </w:rPr>
            </w:pPr>
            <w:r>
              <w:rPr>
                <w:rFonts w:ascii="Times New Roman" w:hAnsi="Times New Roman"/>
                <w:sz w:val="20"/>
              </w:rPr>
              <w:t>Series D-1</w:t>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right"/>
              <w:rPr/>
            </w:pPr>
            <w:r>
              <w:rPr/>
              <w:t>11,887,535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51" w:type="dxa"/>
            <w:tcBorders/>
            <w:vAlign w:val="bottom"/>
          </w:tcPr>
          <w:p>
            <w:pPr>
              <w:pStyle w:val="TableContents"/>
              <w:bidi w:val="0"/>
              <w:spacing w:before="0" w:after="283"/>
              <w:jc w:val="right"/>
              <w:rPr/>
            </w:pPr>
            <w:r>
              <w:rPr/>
              <w:t>11,887,535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40,651</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24,391</w:t>
            </w:r>
          </w:p>
        </w:tc>
        <w:tc>
          <w:tcPr>
            <w:tcW w:w="69" w:type="dxa"/>
            <w:tcBorders/>
            <w:vAlign w:val="bottom"/>
          </w:tcPr>
          <w:p>
            <w:pPr>
              <w:pStyle w:val="TableContents"/>
              <w:bidi w:val="0"/>
              <w:spacing w:before="0" w:after="283"/>
              <w:jc w:val="left"/>
              <w:rPr/>
            </w:pPr>
            <w:r>
              <w:rPr/>
              <w:t> </w:t>
            </w:r>
          </w:p>
        </w:tc>
      </w:tr>
      <w:tr>
        <w:trPr/>
        <w:tc>
          <w:tcPr>
            <w:tcW w:w="212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8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8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7" w:type="dxa"/>
            <w:tcBorders/>
            <w:shd w:fill="CCEEFF" w:val="clear"/>
            <w:vAlign w:val="bottom"/>
          </w:tcPr>
          <w:p>
            <w:pPr>
              <w:pStyle w:val="TableContents"/>
              <w:bidi w:val="0"/>
              <w:spacing w:before="0" w:after="283"/>
              <w:jc w:val="right"/>
              <w:rPr/>
            </w:pPr>
            <w:r>
              <w:rPr/>
              <w:t>93,066,065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51" w:type="dxa"/>
            <w:tcBorders/>
            <w:shd w:fill="CCEEFF" w:val="clear"/>
            <w:vAlign w:val="bottom"/>
          </w:tcPr>
          <w:p>
            <w:pPr>
              <w:pStyle w:val="TableContents"/>
              <w:bidi w:val="0"/>
              <w:spacing w:before="0" w:after="283"/>
              <w:jc w:val="right"/>
              <w:rPr/>
            </w:pPr>
            <w:r>
              <w:rPr/>
              <w:t>93,066,066</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42" w:type="dxa"/>
            <w:tcBorders/>
            <w:shd w:fill="CCEEFF" w:val="clear"/>
            <w:vAlign w:val="bottom"/>
          </w:tcPr>
          <w:p>
            <w:pPr>
              <w:pStyle w:val="TableContents"/>
              <w:bidi w:val="0"/>
              <w:spacing w:before="0" w:after="283"/>
              <w:jc w:val="right"/>
              <w:rPr/>
            </w:pPr>
            <w:r>
              <w:rPr/>
              <w:t>   </w:t>
            </w:r>
            <w:r>
              <w:rPr/>
              <w:t>342,831</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   </w:t>
            </w:r>
            <w:r>
              <w:rPr/>
              <w:t>326,255</w:t>
            </w:r>
          </w:p>
        </w:tc>
        <w:tc>
          <w:tcPr>
            <w:tcW w:w="69" w:type="dxa"/>
            <w:tcBorders/>
            <w:shd w:fill="CCEEFF" w:val="clear"/>
            <w:vAlign w:val="bottom"/>
          </w:tcPr>
          <w:p>
            <w:pPr>
              <w:pStyle w:val="TableContents"/>
              <w:bidi w:val="0"/>
              <w:spacing w:before="0" w:after="283"/>
              <w:jc w:val="left"/>
              <w:rPr/>
            </w:pPr>
            <w:r>
              <w:rPr/>
              <w:t> </w:t>
            </w:r>
          </w:p>
        </w:tc>
      </w:tr>
      <w:tr>
        <w:trPr/>
        <w:tc>
          <w:tcPr>
            <w:tcW w:w="212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8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8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2017, the Company issued 4,753,466 shares of Series A-1 redeemable convertible preferred stock (the Series A-1 Preferred Stock), 2,948,071 shares of Series A-2 redeemable convertible preferred stock (the Series A-2 Preferred Stock), 203,821 shares of Series A-3 redeemable convertible preferred stock (the Series A-3 Preferred Stock), and 27,643 shares of Series A-4 redeemable convertible preferred stock (the Series A-4 Preferred Stock and together with the Series A-1 Preferred Stock, Series A-2 Preferred Stock and Series A-3 Preferred Stock, the Series A Preferred Stock), and in connection with the settlement of the Simple Agreement for Future Equity (SAFE) instruments that were outstanding. SAFEs were originally provided to early investors in exchange for cash. The investors who held these SAFEs converted their respective SAFEs to Series A Preferred Stock. The Series A Preferred Stock have the same rights and preferences except for their initial original issuance prices in connection with any future liquidation events as defined in the Companys articles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2018, the Company sold 7,455,241 shares of its Series B redeemable convertible preferred stock at $3.0756 per share for gross proceeds of $22.9 million (the Series B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2020, the Company sold 15,230,734 shares of Series C redeemable convertible preferred stock (the Series C Preferred Stock) at $5.9091 per share for gross proceeds of $90.0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2021, the Company issued 846,152 shares of Series C Preferred Stock in connection with the Amgen Agreement. </w:t>
      </w:r>
    </w:p>
    <w:p>
      <w:pPr>
        <w:pStyle w:val="TextBody"/>
        <w:bidi w:val="0"/>
        <w:spacing w:before="240" w:after="0"/>
        <w:jc w:val="both"/>
        <w:rPr>
          <w:rFonts w:ascii="Times New Roman" w:hAnsi="Times New Roman"/>
          <w:sz w:val="20"/>
        </w:rPr>
      </w:pPr>
      <w:r>
        <w:rPr>
          <w:rFonts w:ascii="Times New Roman" w:hAnsi="Times New Roman"/>
          <w:sz w:val="20"/>
        </w:rPr>
        <w:t xml:space="preserve">In February 2024, the Company issued 49,713,402 shares of Series D redeemable convertible preferred stock at $3.4196 per share for gross proceeds of $170.0 million (the Series D Preferred Stock). Simultaneously with the closing of the Series D Preferred Stock, the Convertible Promissory Notes (including accrued interest) and derivative liability converted into 11,887,535 shares of Series D-1 redeemable convertible preferred stock at a discount factor of 0.6 relative to the price paid by the Series D investors (the Series D-1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a summary of the amended rights, preferences, and privileges of the Series A-1 through A-4, Series B and Series C, Series D, and Series D-1 redeemable convertible preferred stock: </w:t>
      </w:r>
    </w:p>
    <w:p>
      <w:pPr>
        <w:pStyle w:val="TextBody"/>
        <w:bidi w:val="0"/>
        <w:spacing w:before="240" w:after="0"/>
        <w:jc w:val="both"/>
        <w:rPr>
          <w:rFonts w:ascii="Times New Roman" w:hAnsi="Times New Roman"/>
          <w:sz w:val="20"/>
        </w:rPr>
      </w:pPr>
      <w:r>
        <w:rPr>
          <w:rFonts w:ascii="Times New Roman" w:hAnsi="Times New Roman"/>
          <w:i/>
          <w:sz w:val="20"/>
        </w:rPr>
        <w:t>Rank</w:t>
      </w:r>
      <w:r>
        <w:rPr>
          <w:rFonts w:ascii="Times New Roman" w:hAnsi="Times New Roman"/>
          <w:sz w:val="20"/>
        </w:rPr>
        <w:t xml:space="preserve">The redeemable convertible preferred stock ranks senior to the common stock as to payment of dividends, distributions of assets upon a liquidation event, or otherwise. </w:t>
      </w:r>
    </w:p>
    <w:p>
      <w:pPr>
        <w:pStyle w:val="TextBody"/>
        <w:bidi w:val="0"/>
        <w:spacing w:before="240" w:after="0"/>
        <w:jc w:val="both"/>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the redeemable convertible preferred stock are entitled to receive non-cumulative dividends at the rate of 6.00% per year if and when declared by the Companys board of directors (the Board of Directors). Any declared but unpaid dividends are payable upon a liquidation event or conversion of the applicable shares of convertible preferred stock to common stock. No dividends have been declared through June 30, 2024. </w:t>
      </w:r>
    </w:p>
    <w:p>
      <w:pPr>
        <w:pStyle w:val="TextBody"/>
        <w:bidi w:val="0"/>
        <w:spacing w:before="240" w:after="0"/>
        <w:jc w:val="both"/>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holders of the redeemable convertible preferred stock are entitled to a number of votes equal to the number of shares of common stock into which their shares can be converted. The holders of the redeemable convertible preferred stock are entitled to elect one member of the Board of Directors. </w:t>
      </w:r>
    </w:p>
    <w:p>
      <w:pPr>
        <w:pStyle w:val="TextBody"/>
        <w:bidi w:val="0"/>
        <w:spacing w:before="240" w:after="0"/>
        <w:jc w:val="both"/>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 liquidation, dissolution, or winding up of the Company, or in the event the Company merges with or is acquired by another entity, the holders of the redeemable convertible preferred stock are entitled to their liquidation preference payments plus any accrued but unpaid dividends. Once the liquidation preference has been paid, any remaining assets would be distributed pro rata among the holders of the Series C Preferred Stock, Series B Preferred Stock, Series A Preferred Stock and common stock on an as converted basis. Liquidation preference payments equal an amount per share equal to the greater of (i) the Original Issue Price for such series, plus any dividends declared but unpaid thereon, or (ii) such amount per share as would have been payable on an as-converted basis, where Original Issue Price means $2.4870 per share for Series A-1 Preferred Stock, $0.6133 per share for Series A-2 Preferred Stock, $1.2266 per share for Series A-3 Preferred Stock, $1.9896 per share for Series A-4, $3.0756 per share for Series B Preferred Stock, $5.9091 per share for Series C Preferred Stock, $3.4196 per share for Series D Preferred Stock, and $2.0518 per share for Series D-1 Preferred Stock. </w:t>
      </w:r>
    </w:p>
    <w:p>
      <w:pPr>
        <w:pStyle w:val="TextBody"/>
        <w:bidi w:val="0"/>
        <w:spacing w:before="240" w:after="0"/>
        <w:jc w:val="both"/>
        <w:rPr>
          <w:rFonts w:ascii="Times New Roman" w:hAnsi="Times New Roman"/>
          <w:sz w:val="20"/>
        </w:rPr>
      </w:pPr>
      <w:r>
        <w:rPr>
          <w:rFonts w:ascii="Times New Roman" w:hAnsi="Times New Roman"/>
          <w:i/>
          <w:sz w:val="20"/>
        </w:rPr>
        <w:t>Conversion</w:t>
      </w:r>
      <w:r>
        <w:rPr>
          <w:rFonts w:ascii="Times New Roman" w:hAnsi="Times New Roman"/>
          <w:sz w:val="20"/>
        </w:rPr>
        <w:t xml:space="preserve">At any time, at the option of the holder, each share of redeemable convertible preferred stock is convertible into 0.224084614 shares of common stock, subject to certain antidilution adjustments. The conversion of the redeemable convertible preferred stock is not considered probable at this time, therefore, subsequent measurement adjustments have not been made. The redeemable convertible preferred stock is automatically converted in the event of an initial public offering (IPO) of specified characteristics, or upon the agreement of holders of a majority of the outstanding redeemable convertible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i/>
          <w:sz w:val="20"/>
        </w:rPr>
        <w:t>Down-Round Antidilution Protection</w:t>
      </w:r>
      <w:r>
        <w:rPr>
          <w:rFonts w:ascii="Times New Roman" w:hAnsi="Times New Roman"/>
          <w:sz w:val="20"/>
        </w:rPr>
        <w:t xml:space="preserve">In the event the Company issues its common stock without consideration or for consideration per share that is less than the conversion price in effect for each series of the redeemable convertible preferred stock, then the conversion price for that series shall be reduced in order to increase the number of ordinary shares into which such series of redeemable convertible preferred stock is convertible into.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Series D Preferred Stock and Series D-1 Preferred Stock financings in 2024, the number of Board of Directors seats were increased from five board seats to up to nine board seats. The holders of the common stock are exclusively entitled to elect two members of the Board of Directors. The common stockholders are entitled to one vote for each share of common stock held. There are 132,700,000 and 52,400,000 shares of common stock authorized as of June 30, 2024 and December 31, 2023, respectively. Common stock reserved for future issuance, on an as-if-converted basis, as of June 30, 2024 and December 31, 2023,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0"/>
        <w:gridCol w:w="138"/>
        <w:gridCol w:w="60"/>
        <w:gridCol w:w="1166"/>
        <w:gridCol w:w="60"/>
        <w:gridCol w:w="138"/>
        <w:gridCol w:w="73"/>
        <w:gridCol w:w="1357"/>
        <w:gridCol w:w="63"/>
      </w:tblGrid>
      <w:tr>
        <w:trPr/>
        <w:tc>
          <w:tcPr>
            <w:tcW w:w="715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15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3" w:type="dxa"/>
            <w:tcBorders/>
            <w:vAlign w:val="bottom"/>
          </w:tcPr>
          <w:p>
            <w:pPr>
              <w:pStyle w:val="TableContents"/>
              <w:bidi w:val="0"/>
              <w:spacing w:before="0" w:after="283"/>
              <w:jc w:val="left"/>
              <w:rPr/>
            </w:pPr>
            <w:r>
              <w:rPr/>
              <w:t> </w:t>
            </w:r>
          </w:p>
        </w:tc>
      </w:tr>
      <w:tr>
        <w:trPr/>
        <w:tc>
          <w:tcPr>
            <w:tcW w:w="7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issued and outstanding</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1,723,664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1,673,314</w:t>
            </w:r>
          </w:p>
        </w:tc>
        <w:tc>
          <w:tcPr>
            <w:tcW w:w="63" w:type="dxa"/>
            <w:tcBorders/>
            <w:shd w:fill="CCEEFF" w:val="clear"/>
            <w:vAlign w:val="bottom"/>
          </w:tcPr>
          <w:p>
            <w:pPr>
              <w:pStyle w:val="TableContents"/>
              <w:bidi w:val="0"/>
              <w:spacing w:before="0" w:after="283"/>
              <w:jc w:val="left"/>
              <w:rPr/>
            </w:pPr>
            <w:r>
              <w:rPr/>
              <w:t> </w:t>
            </w:r>
          </w:p>
        </w:tc>
      </w:tr>
      <w:tr>
        <w:trPr/>
        <w:tc>
          <w:tcPr>
            <w:tcW w:w="7150"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issued and outstanding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20,854,632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7,050,825</w:t>
            </w:r>
          </w:p>
        </w:tc>
        <w:tc>
          <w:tcPr>
            <w:tcW w:w="63" w:type="dxa"/>
            <w:tcBorders/>
            <w:vAlign w:val="bottom"/>
          </w:tcPr>
          <w:p>
            <w:pPr>
              <w:pStyle w:val="TableContents"/>
              <w:bidi w:val="0"/>
              <w:spacing w:before="0" w:after="283"/>
              <w:jc w:val="left"/>
              <w:rPr/>
            </w:pPr>
            <w:r>
              <w:rPr/>
              <w:t> </w:t>
            </w:r>
          </w:p>
        </w:tc>
      </w:tr>
      <w:tr>
        <w:trPr/>
        <w:tc>
          <w:tcPr>
            <w:tcW w:w="7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issued and outstanding</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4,522,711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2,364,083</w:t>
            </w:r>
          </w:p>
        </w:tc>
        <w:tc>
          <w:tcPr>
            <w:tcW w:w="63" w:type="dxa"/>
            <w:tcBorders/>
            <w:shd w:fill="CCEEFF" w:val="clear"/>
            <w:vAlign w:val="bottom"/>
          </w:tcPr>
          <w:p>
            <w:pPr>
              <w:pStyle w:val="TableContents"/>
              <w:bidi w:val="0"/>
              <w:spacing w:before="0" w:after="283"/>
              <w:jc w:val="left"/>
              <w:rPr/>
            </w:pPr>
            <w:r>
              <w:rPr/>
              <w:t> </w:t>
            </w:r>
          </w:p>
        </w:tc>
      </w:tr>
      <w:tr>
        <w:trPr/>
        <w:tc>
          <w:tcPr>
            <w:tcW w:w="7150"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authorized for future issuance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1,188,988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614,041</w:t>
            </w:r>
          </w:p>
        </w:tc>
        <w:tc>
          <w:tcPr>
            <w:tcW w:w="63" w:type="dxa"/>
            <w:tcBorders/>
            <w:vAlign w:val="bottom"/>
          </w:tcPr>
          <w:p>
            <w:pPr>
              <w:pStyle w:val="TableContents"/>
              <w:bidi w:val="0"/>
              <w:spacing w:before="0" w:after="283"/>
              <w:jc w:val="left"/>
              <w:rPr/>
            </w:pPr>
            <w:r>
              <w:rPr/>
              <w:t> </w:t>
            </w:r>
          </w:p>
        </w:tc>
      </w:tr>
      <w:tr>
        <w:trPr/>
        <w:tc>
          <w:tcPr>
            <w:tcW w:w="7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 issued and outstanding</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31,690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31,690</w:t>
            </w:r>
          </w:p>
        </w:tc>
        <w:tc>
          <w:tcPr>
            <w:tcW w:w="63" w:type="dxa"/>
            <w:tcBorders/>
            <w:shd w:fill="CCEEFF" w:val="clear"/>
            <w:vAlign w:val="bottom"/>
          </w:tcPr>
          <w:p>
            <w:pPr>
              <w:pStyle w:val="TableContents"/>
              <w:bidi w:val="0"/>
              <w:spacing w:before="0" w:after="283"/>
              <w:jc w:val="left"/>
              <w:rPr/>
            </w:pPr>
            <w:r>
              <w:rPr/>
              <w:t> </w:t>
            </w:r>
          </w:p>
        </w:tc>
      </w:tr>
      <w:tr>
        <w:trPr/>
        <w:tc>
          <w:tcPr>
            <w:tcW w:w="71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15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28,321,685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11,733,953</w:t>
            </w:r>
          </w:p>
        </w:tc>
        <w:tc>
          <w:tcPr>
            <w:tcW w:w="63" w:type="dxa"/>
            <w:tcBorders/>
            <w:vAlign w:val="bottom"/>
          </w:tcPr>
          <w:p>
            <w:pPr>
              <w:pStyle w:val="TableContents"/>
              <w:bidi w:val="0"/>
              <w:spacing w:before="0" w:after="283"/>
              <w:jc w:val="left"/>
              <w:rPr/>
            </w:pPr>
            <w:r>
              <w:rPr/>
              <w:t> </w:t>
            </w:r>
          </w:p>
        </w:tc>
      </w:tr>
      <w:tr>
        <w:trPr/>
        <w:tc>
          <w:tcPr>
            <w:tcW w:w="715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 Option Plan </w:t>
      </w:r>
    </w:p>
    <w:p>
      <w:pPr>
        <w:pStyle w:val="TextBody"/>
        <w:bidi w:val="0"/>
        <w:spacing w:before="120" w:after="0"/>
        <w:jc w:val="both"/>
        <w:rPr>
          <w:rFonts w:ascii="Times New Roman" w:hAnsi="Times New Roman"/>
          <w:sz w:val="20"/>
        </w:rPr>
      </w:pPr>
      <w:r>
        <w:rPr>
          <w:rFonts w:ascii="Times New Roman" w:hAnsi="Times New Roman"/>
          <w:sz w:val="20"/>
        </w:rPr>
        <w:t xml:space="preserve">The Company issues stock-based awards pursuant to its 2015 Equity Incentive Plan, as amended (the Plan). In January 2024, the Company amended the Plan and increased the total number of shares authorized under the Plan to 5,954,650. As of June 30, 2024, 1,188,988 shares are available for future grants. Eligible participants include employees, directors, and consultants. The Plan permits the granting of incentive stock options, non-statutory stock options, stock awards, and stock purchase rights. The terms of the agreements are determined by the Board of Directors. The Companys stock options have a term of 10 years and vest based on the terms in the agreements, generally over 4 years.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the stock option activity for the six months ended June 30,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9"/>
        <w:gridCol w:w="114"/>
        <w:gridCol w:w="66"/>
        <w:gridCol w:w="1203"/>
        <w:gridCol w:w="155"/>
        <w:gridCol w:w="114"/>
        <w:gridCol w:w="60"/>
        <w:gridCol w:w="1013"/>
        <w:gridCol w:w="155"/>
        <w:gridCol w:w="114"/>
        <w:gridCol w:w="140"/>
        <w:gridCol w:w="1195"/>
        <w:gridCol w:w="60"/>
        <w:gridCol w:w="114"/>
        <w:gridCol w:w="197"/>
        <w:gridCol w:w="1074"/>
        <w:gridCol w:w="60"/>
        <w:gridCol w:w="114"/>
        <w:gridCol w:w="140"/>
        <w:gridCol w:w="1063"/>
        <w:gridCol w:w="65"/>
      </w:tblGrid>
      <w:tr>
        <w:trPr/>
        <w:tc>
          <w:tcPr>
            <w:tcW w:w="2989"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89"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Available to</w:t>
              <w:br/>
              <w:t>Grant</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Options</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br/>
              <w:t>Exercise Price</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r>
            <w:r>
              <w:rPr/>
              <w:br/>
            </w:r>
            <w:r>
              <w:rPr>
                <w:b/>
              </w:rPr>
              <w:t>Average</w:t>
              <w:br/>
              <w:t>Remaining</w:t>
            </w:r>
            <w:r>
              <w:rPr/>
              <w:br/>
            </w:r>
            <w:r>
              <w:rPr>
                <w:b/>
              </w:rPr>
              <w:t>Contractual</w:t>
              <w:br/>
              <w:t>Life (Years)</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Intrinsic</w:t>
              <w:br/>
              <w:t>Value (in</w:t>
              <w:br/>
              <w:t>thousands)</w:t>
            </w:r>
          </w:p>
        </w:tc>
        <w:tc>
          <w:tcPr>
            <w:tcW w:w="65" w:type="dxa"/>
            <w:tcBorders/>
            <w:vAlign w:val="bottom"/>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31, 2023</w:t>
            </w:r>
          </w:p>
        </w:tc>
        <w:tc>
          <w:tcPr>
            <w:tcW w:w="11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614,041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2,364,083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8.38</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r>
              <w:rPr/>
              <w:t>2,864</w:t>
            </w:r>
          </w:p>
        </w:tc>
        <w:tc>
          <w:tcPr>
            <w:tcW w:w="65" w:type="dxa"/>
            <w:tcBorders/>
            <w:shd w:fill="CCEEFF" w:val="clear"/>
            <w:vAlign w:val="bottom"/>
          </w:tcPr>
          <w:p>
            <w:pPr>
              <w:pStyle w:val="TableContents"/>
              <w:bidi w:val="0"/>
              <w:spacing w:before="0" w:after="283"/>
              <w:jc w:val="left"/>
              <w:rPr/>
            </w:pPr>
            <w:r>
              <w:rPr/>
              <w:t> </w:t>
            </w:r>
          </w:p>
        </w:tc>
      </w:tr>
      <w:tr>
        <w:trPr/>
        <w:tc>
          <w:tcPr>
            <w:tcW w:w="2989"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authorized shares</w:t>
            </w:r>
          </w:p>
        </w:tc>
        <w:tc>
          <w:tcPr>
            <w:tcW w:w="11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2,783,925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1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(2,260,873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2,260,873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8.42</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89"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1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(50,350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8.44</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Forfeited/expired</w:t>
            </w:r>
          </w:p>
        </w:tc>
        <w:tc>
          <w:tcPr>
            <w:tcW w:w="11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51,895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(51,895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7.30</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89"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tcPr>
          <w:p>
            <w:pPr>
              <w:pStyle w:val="TableContents"/>
              <w:bidi w:val="0"/>
              <w:spacing w:before="0" w:after="0"/>
              <w:jc w:val="left"/>
              <w:rPr>
                <w:rFonts w:ascii="Times New Roman" w:hAnsi="Times New Roman"/>
                <w:sz w:val="20"/>
              </w:rPr>
            </w:pPr>
            <w:r>
              <w:rPr>
                <w:rFonts w:ascii="Times New Roman" w:hAnsi="Times New Roman"/>
                <w:sz w:val="20"/>
              </w:rPr>
              <w:t>Balance-June 30, 2024</w:t>
            </w:r>
          </w:p>
        </w:tc>
        <w:tc>
          <w:tcPr>
            <w:tcW w:w="11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1,188,988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4,522,711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8.41</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3" w:type="dxa"/>
            <w:tcBorders/>
            <w:vAlign w:val="bottom"/>
          </w:tcPr>
          <w:p>
            <w:pPr>
              <w:pStyle w:val="TableContents"/>
              <w:bidi w:val="0"/>
              <w:spacing w:before="0" w:after="283"/>
              <w:jc w:val="right"/>
              <w:rPr/>
            </w:pPr>
            <w:r>
              <w:rPr/>
              <w:t>10,466</w:t>
            </w:r>
          </w:p>
        </w:tc>
        <w:tc>
          <w:tcPr>
            <w:tcW w:w="65" w:type="dxa"/>
            <w:tcBorders/>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 and Exercisable-June 30, 2024</w:t>
            </w:r>
          </w:p>
        </w:tc>
        <w:tc>
          <w:tcPr>
            <w:tcW w:w="11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1,657,051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   </w:t>
            </w:r>
            <w:r>
              <w:rPr/>
              <w:t>7.91</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4,659</w:t>
            </w:r>
          </w:p>
        </w:tc>
        <w:tc>
          <w:tcPr>
            <w:tcW w:w="65" w:type="dxa"/>
            <w:tcBorders/>
            <w:shd w:fill="CCEEFF" w:val="clear"/>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fair value of the stock options that were exercised during the six months ended June 30, 2024 and 2023 were $0.5 million and less than $0.1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fair value of options granted during the six months ended June 30, 2024 and 2023 was estimated on the date of grant using a Black-Scholes option pricing model with the following weighted-average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63"/>
        <w:gridCol w:w="311"/>
        <w:gridCol w:w="140"/>
        <w:gridCol w:w="1262"/>
        <w:gridCol w:w="278"/>
        <w:gridCol w:w="267"/>
        <w:gridCol w:w="140"/>
        <w:gridCol w:w="1262"/>
        <w:gridCol w:w="282"/>
      </w:tblGrid>
      <w:tr>
        <w:trPr/>
        <w:tc>
          <w:tcPr>
            <w:tcW w:w="626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626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282" w:type="dxa"/>
            <w:tcBorders/>
            <w:vAlign w:val="bottom"/>
          </w:tcPr>
          <w:p>
            <w:pPr>
              <w:pStyle w:val="TableContents"/>
              <w:bidi w:val="0"/>
              <w:spacing w:before="0" w:after="283"/>
              <w:jc w:val="left"/>
              <w:rPr/>
            </w:pPr>
            <w:r>
              <w:rPr/>
              <w:t> </w:t>
            </w:r>
          </w:p>
        </w:tc>
      </w:tr>
      <w:tr>
        <w:trPr/>
        <w:tc>
          <w:tcPr>
            <w:tcW w:w="626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2" w:type="dxa"/>
            <w:tcBorders/>
            <w:vAlign w:val="bottom"/>
          </w:tcPr>
          <w:p>
            <w:pPr>
              <w:pStyle w:val="TableContents"/>
              <w:bidi w:val="0"/>
              <w:spacing w:before="0" w:after="283"/>
              <w:jc w:val="left"/>
              <w:rPr/>
            </w:pPr>
            <w:r>
              <w:rPr/>
              <w:t> </w:t>
            </w:r>
          </w:p>
        </w:tc>
      </w:tr>
      <w:tr>
        <w:trPr/>
        <w:tc>
          <w:tcPr>
            <w:tcW w:w="6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4.6</w:t>
            </w:r>
          </w:p>
        </w:tc>
        <w:tc>
          <w:tcPr>
            <w:tcW w:w="27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3.7</w:t>
            </w:r>
          </w:p>
        </w:tc>
        <w:tc>
          <w:tcPr>
            <w:tcW w:w="282" w:type="dxa"/>
            <w:tcBorders/>
            <w:shd w:fill="CCEEFF" w:val="clear"/>
            <w:vAlign w:val="bottom"/>
          </w:tcPr>
          <w:p>
            <w:pPr>
              <w:pStyle w:val="TableContents"/>
              <w:bidi w:val="0"/>
              <w:spacing w:before="0" w:after="283"/>
              <w:jc w:val="left"/>
              <w:rPr/>
            </w:pPr>
            <w:r>
              <w:rPr/>
              <w:t>% </w:t>
            </w:r>
          </w:p>
        </w:tc>
      </w:tr>
      <w:tr>
        <w:trPr/>
        <w:tc>
          <w:tcPr>
            <w:tcW w:w="6263"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6.0 years</w:t>
            </w:r>
          </w:p>
        </w:tc>
        <w:tc>
          <w:tcPr>
            <w:tcW w:w="27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6.0 years</w:t>
            </w:r>
          </w:p>
        </w:tc>
        <w:tc>
          <w:tcPr>
            <w:tcW w:w="282" w:type="dxa"/>
            <w:tcBorders/>
            <w:vAlign w:val="bottom"/>
          </w:tcPr>
          <w:p>
            <w:pPr>
              <w:pStyle w:val="TableContents"/>
              <w:bidi w:val="0"/>
              <w:spacing w:before="0" w:after="283"/>
              <w:jc w:val="left"/>
              <w:rPr/>
            </w:pPr>
            <w:r>
              <w:rPr/>
              <w:t> </w:t>
            </w:r>
          </w:p>
        </w:tc>
      </w:tr>
      <w:tr>
        <w:trPr/>
        <w:tc>
          <w:tcPr>
            <w:tcW w:w="6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110.2</w:t>
            </w:r>
          </w:p>
        </w:tc>
        <w:tc>
          <w:tcPr>
            <w:tcW w:w="27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91.6</w:t>
            </w:r>
          </w:p>
        </w:tc>
        <w:tc>
          <w:tcPr>
            <w:tcW w:w="282" w:type="dxa"/>
            <w:tcBorders/>
            <w:shd w:fill="CCEEFF" w:val="clear"/>
            <w:vAlign w:val="bottom"/>
          </w:tcPr>
          <w:p>
            <w:pPr>
              <w:pStyle w:val="TableContents"/>
              <w:bidi w:val="0"/>
              <w:spacing w:before="0" w:after="283"/>
              <w:jc w:val="left"/>
              <w:rPr/>
            </w:pPr>
            <w:r>
              <w:rPr/>
              <w:t>% </w:t>
            </w:r>
          </w:p>
        </w:tc>
      </w:tr>
      <w:tr>
        <w:trPr/>
        <w:tc>
          <w:tcPr>
            <w:tcW w:w="6263"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6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the Companys common stock (per share)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    </w:t>
            </w:r>
            <w:r>
              <w:rPr/>
              <w:t>8.43</w:t>
            </w:r>
          </w:p>
        </w:tc>
        <w:tc>
          <w:tcPr>
            <w:tcW w:w="278"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    </w:t>
            </w:r>
            <w:r>
              <w:rPr/>
              <w:t>7.54</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Stock-based compensation expense recorded as research and development and general and administrative expenses in the statements of operations and comprehensive loss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2"/>
        <w:gridCol w:w="221"/>
        <w:gridCol w:w="144"/>
        <w:gridCol w:w="1174"/>
        <w:gridCol w:w="60"/>
        <w:gridCol w:w="221"/>
        <w:gridCol w:w="144"/>
        <w:gridCol w:w="1174"/>
        <w:gridCol w:w="65"/>
      </w:tblGrid>
      <w:tr>
        <w:trPr/>
        <w:tc>
          <w:tcPr>
            <w:tcW w:w="700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00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917"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65" w:type="dxa"/>
            <w:tcBorders/>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776</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549</w:t>
            </w:r>
          </w:p>
        </w:tc>
        <w:tc>
          <w:tcPr>
            <w:tcW w:w="65" w:type="dxa"/>
            <w:tcBorders/>
            <w:shd w:fill="CCEEFF" w:val="clear"/>
            <w:vAlign w:val="bottom"/>
          </w:tcPr>
          <w:p>
            <w:pPr>
              <w:pStyle w:val="TableContents"/>
              <w:bidi w:val="0"/>
              <w:spacing w:before="0" w:after="283"/>
              <w:jc w:val="left"/>
              <w:rPr/>
            </w:pPr>
            <w:r>
              <w:rPr/>
              <w:t> </w:t>
            </w:r>
          </w:p>
        </w:tc>
      </w:tr>
      <w:tr>
        <w:trPr/>
        <w:tc>
          <w:tcPr>
            <w:tcW w:w="700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1,634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943</w:t>
            </w:r>
          </w:p>
        </w:tc>
        <w:tc>
          <w:tcPr>
            <w:tcW w:w="65" w:type="dxa"/>
            <w:tcBorders/>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0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   </w:t>
            </w:r>
            <w:r>
              <w:rPr/>
              <w:t>2,410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74" w:type="dxa"/>
            <w:tcBorders/>
            <w:shd w:fill="CCEEFF" w:val="clear"/>
            <w:vAlign w:val="bottom"/>
          </w:tcPr>
          <w:p>
            <w:pPr>
              <w:pStyle w:val="TableContents"/>
              <w:bidi w:val="0"/>
              <w:spacing w:before="0" w:after="283"/>
              <w:jc w:val="right"/>
              <w:rPr/>
            </w:pPr>
            <w:r>
              <w:rPr/>
              <w:t>   </w:t>
            </w:r>
            <w:r>
              <w:rPr/>
              <w:t>1,492</w:t>
            </w:r>
          </w:p>
        </w:tc>
        <w:tc>
          <w:tcPr>
            <w:tcW w:w="65" w:type="dxa"/>
            <w:tcBorders/>
            <w:shd w:fill="CCEEFF" w:val="clear"/>
            <w:vAlign w:val="bottom"/>
          </w:tcPr>
          <w:p>
            <w:pPr>
              <w:pStyle w:val="TableContents"/>
              <w:bidi w:val="0"/>
              <w:spacing w:before="0" w:after="283"/>
              <w:jc w:val="left"/>
              <w:rPr/>
            </w:pPr>
            <w:r>
              <w:rPr/>
              <w:t> </w:t>
            </w:r>
          </w:p>
        </w:tc>
      </w:tr>
      <w:tr>
        <w:trPr/>
        <w:tc>
          <w:tcPr>
            <w:tcW w:w="70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June 30, 2024 there was $19.2 million of unrecognized compensation cost that is expected to be recognized over a weighted average period of 3.3 years. </w:t>
      </w:r>
    </w:p>
    <w:p>
      <w:pPr>
        <w:pStyle w:val="TextBody"/>
        <w:bidi w:val="0"/>
        <w:spacing w:before="360" w:after="0"/>
        <w:jc w:val="left"/>
        <w:rPr>
          <w:rFonts w:ascii="Times New Roman" w:hAnsi="Times New Roman"/>
          <w:b/>
          <w:sz w:val="20"/>
        </w:rPr>
      </w:pPr>
      <w:r>
        <w:rPr>
          <w:rFonts w:ascii="Times New Roman" w:hAnsi="Times New Roman"/>
          <w:b/>
          <w:sz w:val="20"/>
        </w:rPr>
        <w:t xml:space="preserve">Note 8.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 entered into indemnification agreements with directors and certain officers that will require the Company, among other things, to indemnify them against certain liabilities that may arise by reason of their status or service as directors or officers. No demands have been made upon the Company to provide indemnification under such agreements, and thus, there are no claims that the Company is aware of that could have a material effect on the condensed consolidated financial statements. The Company also maintains director and officer insurance, which may cover certain liabilities arising from the Companys obligation to indemnify its directors and officers. To date, the Company has not incurred any costs and have not accrued any liabilities in the condensed consolidated financial statements as a result of these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not a party to any litigation and does not have contingency reserves established for any litigation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 Plan </w:t>
      </w:r>
    </w:p>
    <w:p>
      <w:pPr>
        <w:pStyle w:val="TextBody"/>
        <w:bidi w:val="0"/>
        <w:spacing w:before="120" w:after="0"/>
        <w:jc w:val="both"/>
        <w:rPr>
          <w:rFonts w:ascii="Times New Roman" w:hAnsi="Times New Roman"/>
          <w:sz w:val="20"/>
        </w:rPr>
      </w:pPr>
      <w:r>
        <w:rPr>
          <w:rFonts w:ascii="Times New Roman" w:hAnsi="Times New Roman"/>
          <w:sz w:val="20"/>
        </w:rPr>
        <w:t xml:space="preserve">The Company maintains a defined contribution 401(k) plan, under which employee contributions are voluntary and are determined on an individual basis, limited by the maximum amounts allowable under federal tax regulations. The Company provides an automatic matching contribution of employee contributions into the plan up to a maximum of 4% of employee deferral. The Companys matching contributions to employees were $0.3 million during the six months ended June 30, 2024 and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both"/>
        <w:rPr>
          <w:rFonts w:ascii="Times New Roman" w:hAnsi="Times New Roman"/>
          <w:sz w:val="20"/>
        </w:rPr>
      </w:pPr>
      <w:r>
        <w:rPr>
          <w:rFonts w:ascii="Times New Roman" w:hAnsi="Times New Roman"/>
          <w:sz w:val="20"/>
        </w:rPr>
        <w:t xml:space="preserve">In August 2017, the Company entered into an agreement to lease approximately 6,436 square feet of office and lab space in Richmond California, which the Company uses for its corporate offices and research facility (the Richmond Lease). The Richmond lease had an initial term of three years but was amended in October 2017 and August 2019 to add additional space for a total of 18,829 square feet and to extend the term of the lease through February 2023. In January 2023, the Company entered into an amendment which extended the term of the lease through August 2024. In March 2024, the Company entered into an amendment which extended the term of the lease through August 2025. The Richmond Lease includes escalating rent payments but does not provide for any renewal options. The Company recognizes rent expense on a straight-line basis over the lease term. The Richmond lease does not provide a bargain purchase option nor does it transfer ownership at any point during the lease to the Company and is classified as an operating lease. </w:t>
      </w:r>
    </w:p>
    <w:p>
      <w:pPr>
        <w:pStyle w:val="TextBody"/>
        <w:bidi w:val="0"/>
        <w:spacing w:before="240" w:after="0"/>
        <w:jc w:val="both"/>
        <w:rPr>
          <w:rFonts w:ascii="Times New Roman" w:hAnsi="Times New Roman"/>
          <w:sz w:val="20"/>
        </w:rPr>
      </w:pPr>
      <w:r>
        <w:rPr>
          <w:rFonts w:ascii="Times New Roman" w:hAnsi="Times New Roman"/>
          <w:sz w:val="20"/>
        </w:rPr>
        <w:t xml:space="preserve">As of June 30, 2024, the remaining lease term was 1.2 years and the discount rate used to determine the operating leases liability was 12.5%. </w:t>
      </w:r>
    </w:p>
    <w:p>
      <w:pPr>
        <w:pStyle w:val="TextBody"/>
        <w:bidi w:val="0"/>
        <w:spacing w:before="240" w:after="0"/>
        <w:jc w:val="both"/>
        <w:rPr>
          <w:rFonts w:ascii="Times New Roman" w:hAnsi="Times New Roman"/>
          <w:sz w:val="20"/>
        </w:rPr>
      </w:pPr>
      <w:r>
        <w:rPr>
          <w:rFonts w:ascii="Times New Roman" w:hAnsi="Times New Roman"/>
          <w:sz w:val="20"/>
        </w:rPr>
        <w:t xml:space="preserve">Cash paid for amounts included in the measurement of operating lease liabilities was $0.2 million for the six months ended June 30, 2024 and 2023, respectively, and was included in net cash used in operating activities in the Companys statement of cash flows. </w:t>
      </w:r>
    </w:p>
    <w:p>
      <w:pPr>
        <w:pStyle w:val="TextBody"/>
        <w:bidi w:val="0"/>
        <w:spacing w:before="240" w:after="0"/>
        <w:jc w:val="both"/>
        <w:rPr>
          <w:rFonts w:ascii="Times New Roman" w:hAnsi="Times New Roman"/>
          <w:sz w:val="20"/>
        </w:rPr>
      </w:pPr>
      <w:r>
        <w:rPr>
          <w:rFonts w:ascii="Times New Roman" w:hAnsi="Times New Roman"/>
          <w:sz w:val="20"/>
        </w:rPr>
        <w:t xml:space="preserve">Future Minimum rental payments of $0.2 million will be made in each of 2024 and 2025. Rent expense was $0.2 million for each of the six months ended June 30, 2024 and 2023. Variable lease payments related to operating leases for the six months ended June 30, 2024 and 2023 were not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Note 9. Wellcome Leap Commercial Research Funding Agreement </w:t>
      </w:r>
    </w:p>
    <w:p>
      <w:pPr>
        <w:pStyle w:val="TextBody"/>
        <w:bidi w:val="0"/>
        <w:spacing w:before="120" w:after="0"/>
        <w:jc w:val="both"/>
        <w:rPr>
          <w:rFonts w:ascii="Times New Roman" w:hAnsi="Times New Roman"/>
          <w:sz w:val="20"/>
        </w:rPr>
      </w:pPr>
      <w:r>
        <w:rPr>
          <w:rFonts w:ascii="Times New Roman" w:hAnsi="Times New Roman"/>
          <w:sz w:val="20"/>
        </w:rPr>
        <w:t xml:space="preserve">In September 2023, the Company entered into a Commercial Research Funding Agreement with Wellcome Leap, Inc. (the Wellcome Leap Agreement) in which Wellcome Leap was to fund certain research and development work performed by the Company. In connection with the Wellcome Leap Agreement, the Company entered into a statement of work in which the Company was to evaluate Azelaprags efficacy at preventing muscle atrophy and frailty during hospitalization in chronic obstructive pulmonary disease (COPD) patients through a Phase 2 clinical trial (the COPD Trial). </w:t>
      </w:r>
    </w:p>
    <w:p>
      <w:pPr>
        <w:pStyle w:val="TextBody"/>
        <w:bidi w:val="0"/>
        <w:spacing w:before="240" w:after="0"/>
        <w:jc w:val="both"/>
        <w:rPr>
          <w:rFonts w:ascii="Times New Roman" w:hAnsi="Times New Roman"/>
          <w:sz w:val="20"/>
        </w:rPr>
      </w:pPr>
      <w:r>
        <w:rPr>
          <w:rFonts w:ascii="Times New Roman" w:hAnsi="Times New Roman"/>
          <w:sz w:val="20"/>
        </w:rPr>
        <w:t xml:space="preserve">Also, in September 2023, Wellcome Leap made a payment of $3.3 million to the Company to cover costs to be incurred related to the COPD Trial (the Grant Funds). As the Grant Funds are maintained in a separate bank account from the Companys other funds and are only to be expended on the COPD Trial, it was determined that the Grant Funds represented restricted cash and are classified as such in the consolidated balance sheet as of December 31, 2023. </w:t>
      </w:r>
    </w:p>
    <w:p>
      <w:pPr>
        <w:pStyle w:val="TextBody"/>
        <w:bidi w:val="0"/>
        <w:spacing w:before="240" w:after="0"/>
        <w:jc w:val="both"/>
        <w:rPr>
          <w:rFonts w:ascii="Times New Roman" w:hAnsi="Times New Roman"/>
          <w:sz w:val="20"/>
        </w:rPr>
      </w:pPr>
      <w:r>
        <w:rPr>
          <w:rFonts w:ascii="Times New Roman" w:hAnsi="Times New Roman"/>
          <w:sz w:val="20"/>
        </w:rPr>
        <w:t xml:space="preserve">In March 2024, the Company informed Wellcome Leap that it planned to terminate the COPD Trial due to concerns regarding commercial feasibility and on May 31, 2024, the Company and Wellcome Leap terminated the Wellcome Leap Agreement (the Wellcome Leap Termination). In connection with the Wellcome Leap Termination, the Company returned $2.4 million of unused Grant Funds received to Wellcome Leap in June 2024. </w:t>
      </w:r>
    </w:p>
    <w:p>
      <w:pPr>
        <w:pStyle w:val="TextBody"/>
        <w:bidi w:val="0"/>
        <w:spacing w:before="360" w:after="0"/>
        <w:jc w:val="left"/>
        <w:rPr>
          <w:rFonts w:ascii="Times New Roman" w:hAnsi="Times New Roman"/>
          <w:b/>
          <w:sz w:val="20"/>
        </w:rPr>
      </w:pPr>
      <w:r>
        <w:rPr>
          <w:rFonts w:ascii="Times New Roman" w:hAnsi="Times New Roman"/>
          <w:b/>
          <w:sz w:val="20"/>
        </w:rPr>
        <w:t xml:space="preserve">Note 10. Income Taxes </w:t>
      </w:r>
    </w:p>
    <w:p>
      <w:pPr>
        <w:pStyle w:val="TextBody"/>
        <w:bidi w:val="0"/>
        <w:spacing w:before="120" w:after="0"/>
        <w:jc w:val="both"/>
        <w:rPr>
          <w:rFonts w:ascii="Times New Roman" w:hAnsi="Times New Roman"/>
          <w:sz w:val="20"/>
        </w:rPr>
      </w:pPr>
      <w:r>
        <w:rPr>
          <w:rFonts w:ascii="Times New Roman" w:hAnsi="Times New Roman"/>
          <w:sz w:val="20"/>
        </w:rPr>
        <w:t xml:space="preserve">The Company estimates an annual effective tax rate of 0% for the year ending December 31, 2024 as the Company incurred losses for the six months ended June 30, 2024 and expects to continue to incur losses through the remainder of fiscal year ending December 31, 2024, resulting in an estimated net loss for both financial statement and tax purposes for the year ending December 31, 2024. Therefore, no federal, state or foreign income taxes are expected and none have been recorded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 </w:t>
      </w:r>
    </w:p>
    <w:p>
      <w:pPr>
        <w:pStyle w:val="TextBody"/>
        <w:bidi w:val="0"/>
        <w:spacing w:before="240" w:after="0"/>
        <w:jc w:val="both"/>
        <w:rPr>
          <w:rFonts w:ascii="Times New Roman" w:hAnsi="Times New Roman"/>
          <w:sz w:val="20"/>
        </w:rPr>
      </w:pPr>
      <w:r>
        <w:rPr>
          <w:rFonts w:ascii="Times New Roman" w:hAnsi="Times New Roman"/>
          <w:sz w:val="20"/>
        </w:rPr>
        <w:t xml:space="preserve">On June 30, 2024, the Company had no unrecognized tax benefits that would reduce the Companys effective tax rate if recognized. </w:t>
      </w:r>
    </w:p>
    <w:p>
      <w:pPr>
        <w:pStyle w:val="TextBody"/>
        <w:bidi w:val="0"/>
        <w:spacing w:before="360" w:after="0"/>
        <w:jc w:val="left"/>
        <w:rPr>
          <w:rFonts w:ascii="Times New Roman" w:hAnsi="Times New Roman"/>
          <w:b/>
          <w:sz w:val="20"/>
        </w:rPr>
      </w:pPr>
      <w:r>
        <w:rPr>
          <w:rFonts w:ascii="Times New Roman" w:hAnsi="Times New Roman"/>
          <w:b/>
          <w:sz w:val="20"/>
        </w:rPr>
        <w:t xml:space="preserve">Note 11. 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computation of the basic and diluted net loss per share attributable to common stockholders (in thousands except for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380"/>
        <w:gridCol w:w="140"/>
        <w:gridCol w:w="990"/>
        <w:gridCol w:w="155"/>
        <w:gridCol w:w="343"/>
        <w:gridCol w:w="140"/>
        <w:gridCol w:w="990"/>
        <w:gridCol w:w="159"/>
      </w:tblGrid>
      <w:tr>
        <w:trPr/>
        <w:tc>
          <w:tcPr>
            <w:tcW w:w="69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758"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(26,573</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(28,271</w:t>
            </w:r>
          </w:p>
        </w:tc>
        <w:tc>
          <w:tcPr>
            <w:tcW w:w="159"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of common stock outstanding used to compute net loss per share attributable to common stockholders, basic and diluted</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1,692,238</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1,672,697</w:t>
            </w:r>
          </w:p>
        </w:tc>
        <w:tc>
          <w:tcPr>
            <w:tcW w:w="159"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(15.70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(16.90</w:t>
            </w:r>
          </w:p>
        </w:tc>
        <w:tc>
          <w:tcPr>
            <w:tcW w:w="159"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Companys potentially dilutive securities have been excluded from the computation of diluted net loss per share attributable to common stockholders as the effect would be antidilutive. Therefore, the weighted- average number of shares of common stock outstanding used to calculate both basic and diluted net loss per share attributable to common stockholders is the same. Potentially dilutive securities that were not included in the diluted per share calculations because they would be anti-dilutive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38"/>
        <w:gridCol w:w="121"/>
        <w:gridCol w:w="60"/>
        <w:gridCol w:w="1102"/>
        <w:gridCol w:w="60"/>
        <w:gridCol w:w="121"/>
        <w:gridCol w:w="60"/>
        <w:gridCol w:w="980"/>
        <w:gridCol w:w="63"/>
      </w:tblGrid>
      <w:tr>
        <w:trPr/>
        <w:tc>
          <w:tcPr>
            <w:tcW w:w="76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3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63" w:type="dxa"/>
            <w:tcBorders/>
            <w:vAlign w:val="bottom"/>
          </w:tcPr>
          <w:p>
            <w:pPr>
              <w:pStyle w:val="TableContents"/>
              <w:bidi w:val="0"/>
              <w:spacing w:before="0" w:after="283"/>
              <w:jc w:val="left"/>
              <w:rPr/>
            </w:pPr>
            <w:r>
              <w:rPr/>
              <w:t> </w:t>
            </w:r>
          </w:p>
        </w:tc>
      </w:tr>
      <w:tr>
        <w:trPr/>
        <w:tc>
          <w:tcPr>
            <w:tcW w:w="7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redeemable convertible preferred stock on an as if converted basis</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1,065,172</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1,065,172</w:t>
            </w:r>
          </w:p>
        </w:tc>
        <w:tc>
          <w:tcPr>
            <w:tcW w:w="63" w:type="dxa"/>
            <w:tcBorders/>
            <w:shd w:fill="CCEEFF" w:val="clear"/>
            <w:vAlign w:val="bottom"/>
          </w:tcPr>
          <w:p>
            <w:pPr>
              <w:pStyle w:val="TableContents"/>
              <w:bidi w:val="0"/>
              <w:spacing w:before="0" w:after="283"/>
              <w:jc w:val="left"/>
              <w:rPr/>
            </w:pPr>
            <w:r>
              <w:rPr/>
              <w:t> </w:t>
            </w:r>
          </w:p>
        </w:tc>
      </w:tr>
      <w:tr>
        <w:trPr/>
        <w:tc>
          <w:tcPr>
            <w:tcW w:w="7638" w:type="dxa"/>
            <w:tcBorders/>
          </w:tcPr>
          <w:p>
            <w:pPr>
              <w:pStyle w:val="TableContents"/>
              <w:bidi w:val="0"/>
              <w:spacing w:before="0" w:after="0"/>
              <w:jc w:val="left"/>
              <w:rPr>
                <w:rFonts w:ascii="Times New Roman" w:hAnsi="Times New Roman"/>
                <w:sz w:val="20"/>
              </w:rPr>
            </w:pPr>
            <w:r>
              <w:rPr>
                <w:rFonts w:ascii="Times New Roman" w:hAnsi="Times New Roman"/>
                <w:sz w:val="20"/>
              </w:rPr>
              <w:t>Series A-2 redeemable convertible preferred stock on an as if converted basis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660,615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660,615</w:t>
            </w:r>
          </w:p>
        </w:tc>
        <w:tc>
          <w:tcPr>
            <w:tcW w:w="63" w:type="dxa"/>
            <w:tcBorders/>
            <w:vAlign w:val="bottom"/>
          </w:tcPr>
          <w:p>
            <w:pPr>
              <w:pStyle w:val="TableContents"/>
              <w:bidi w:val="0"/>
              <w:spacing w:before="0" w:after="283"/>
              <w:jc w:val="left"/>
              <w:rPr/>
            </w:pPr>
            <w:r>
              <w:rPr/>
              <w:t> </w:t>
            </w:r>
          </w:p>
        </w:tc>
      </w:tr>
      <w:tr>
        <w:trPr/>
        <w:tc>
          <w:tcPr>
            <w:tcW w:w="7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A-3 redeemable convertible preferred stock on an as if converted basis</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45,673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45,673</w:t>
            </w:r>
          </w:p>
        </w:tc>
        <w:tc>
          <w:tcPr>
            <w:tcW w:w="63" w:type="dxa"/>
            <w:tcBorders/>
            <w:shd w:fill="CCEEFF" w:val="clear"/>
            <w:vAlign w:val="bottom"/>
          </w:tcPr>
          <w:p>
            <w:pPr>
              <w:pStyle w:val="TableContents"/>
              <w:bidi w:val="0"/>
              <w:spacing w:before="0" w:after="283"/>
              <w:jc w:val="left"/>
              <w:rPr/>
            </w:pPr>
            <w:r>
              <w:rPr/>
              <w:t> </w:t>
            </w:r>
          </w:p>
        </w:tc>
      </w:tr>
      <w:tr>
        <w:trPr/>
        <w:tc>
          <w:tcPr>
            <w:tcW w:w="7638" w:type="dxa"/>
            <w:tcBorders/>
          </w:tcPr>
          <w:p>
            <w:pPr>
              <w:pStyle w:val="TableContents"/>
              <w:bidi w:val="0"/>
              <w:spacing w:before="0" w:after="0"/>
              <w:jc w:val="left"/>
              <w:rPr>
                <w:rFonts w:ascii="Times New Roman" w:hAnsi="Times New Roman"/>
                <w:sz w:val="20"/>
              </w:rPr>
            </w:pPr>
            <w:r>
              <w:rPr>
                <w:rFonts w:ascii="Times New Roman" w:hAnsi="Times New Roman"/>
                <w:sz w:val="20"/>
              </w:rPr>
              <w:t>Series A-4 redeemable convertible preferred stock on an as if converted basis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6,194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6,194</w:t>
            </w:r>
          </w:p>
        </w:tc>
        <w:tc>
          <w:tcPr>
            <w:tcW w:w="63" w:type="dxa"/>
            <w:tcBorders/>
            <w:vAlign w:val="bottom"/>
          </w:tcPr>
          <w:p>
            <w:pPr>
              <w:pStyle w:val="TableContents"/>
              <w:bidi w:val="0"/>
              <w:spacing w:before="0" w:after="283"/>
              <w:jc w:val="left"/>
              <w:rPr/>
            </w:pPr>
            <w:r>
              <w:rPr/>
              <w:t> </w:t>
            </w:r>
          </w:p>
        </w:tc>
      </w:tr>
      <w:tr>
        <w:trPr/>
        <w:tc>
          <w:tcPr>
            <w:tcW w:w="7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redeemable convertible preferred stock on an as if converted basis</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1,670,599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1,670,599</w:t>
            </w:r>
          </w:p>
        </w:tc>
        <w:tc>
          <w:tcPr>
            <w:tcW w:w="63" w:type="dxa"/>
            <w:tcBorders/>
            <w:shd w:fill="CCEEFF" w:val="clear"/>
            <w:vAlign w:val="bottom"/>
          </w:tcPr>
          <w:p>
            <w:pPr>
              <w:pStyle w:val="TableContents"/>
              <w:bidi w:val="0"/>
              <w:spacing w:before="0" w:after="283"/>
              <w:jc w:val="left"/>
              <w:rPr/>
            </w:pPr>
            <w:r>
              <w:rPr/>
              <w:t> </w:t>
            </w:r>
          </w:p>
        </w:tc>
      </w:tr>
      <w:tr>
        <w:trPr/>
        <w:tc>
          <w:tcPr>
            <w:tcW w:w="7638" w:type="dxa"/>
            <w:tcBorders/>
          </w:tcPr>
          <w:p>
            <w:pPr>
              <w:pStyle w:val="TableContents"/>
              <w:bidi w:val="0"/>
              <w:spacing w:before="0" w:after="0"/>
              <w:jc w:val="left"/>
              <w:rPr>
                <w:rFonts w:ascii="Times New Roman" w:hAnsi="Times New Roman"/>
                <w:sz w:val="20"/>
              </w:rPr>
            </w:pPr>
            <w:r>
              <w:rPr>
                <w:rFonts w:ascii="Times New Roman" w:hAnsi="Times New Roman"/>
                <w:sz w:val="20"/>
              </w:rPr>
              <w:t>Series C redeemable convertible preferred stock on an as if converted basis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3,602,572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3,602,572</w:t>
            </w:r>
          </w:p>
        </w:tc>
        <w:tc>
          <w:tcPr>
            <w:tcW w:w="63" w:type="dxa"/>
            <w:tcBorders/>
            <w:vAlign w:val="bottom"/>
          </w:tcPr>
          <w:p>
            <w:pPr>
              <w:pStyle w:val="TableContents"/>
              <w:bidi w:val="0"/>
              <w:spacing w:before="0" w:after="283"/>
              <w:jc w:val="left"/>
              <w:rPr/>
            </w:pPr>
            <w:r>
              <w:rPr/>
              <w:t> </w:t>
            </w:r>
          </w:p>
        </w:tc>
      </w:tr>
      <w:tr>
        <w:trPr/>
        <w:tc>
          <w:tcPr>
            <w:tcW w:w="7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redeemable convertible preferred stock on an as if converted basis</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11,139,995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7638" w:type="dxa"/>
            <w:tcBorders/>
          </w:tcPr>
          <w:p>
            <w:pPr>
              <w:pStyle w:val="TableContents"/>
              <w:bidi w:val="0"/>
              <w:spacing w:before="0" w:after="0"/>
              <w:jc w:val="left"/>
              <w:rPr>
                <w:rFonts w:ascii="Times New Roman" w:hAnsi="Times New Roman"/>
                <w:sz w:val="20"/>
              </w:rPr>
            </w:pPr>
            <w:r>
              <w:rPr>
                <w:rFonts w:ascii="Times New Roman" w:hAnsi="Times New Roman"/>
                <w:sz w:val="20"/>
              </w:rPr>
              <w:t>Series D-1 redeemable convertible preferred stock on an as if converted basis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2,663,812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7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issued and outstanding</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4,522,711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2,355,128</w:t>
            </w:r>
          </w:p>
        </w:tc>
        <w:tc>
          <w:tcPr>
            <w:tcW w:w="63" w:type="dxa"/>
            <w:tcBorders/>
            <w:shd w:fill="CCEEFF" w:val="clear"/>
            <w:vAlign w:val="bottom"/>
          </w:tcPr>
          <w:p>
            <w:pPr>
              <w:pStyle w:val="TableContents"/>
              <w:bidi w:val="0"/>
              <w:spacing w:before="0" w:after="283"/>
              <w:jc w:val="left"/>
              <w:rPr/>
            </w:pPr>
            <w:r>
              <w:rPr/>
              <w:t> </w:t>
            </w:r>
          </w:p>
        </w:tc>
      </w:tr>
      <w:tr>
        <w:trPr/>
        <w:tc>
          <w:tcPr>
            <w:tcW w:w="7638"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stock</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31,690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31,690</w:t>
            </w:r>
          </w:p>
        </w:tc>
        <w:tc>
          <w:tcPr>
            <w:tcW w:w="63" w:type="dxa"/>
            <w:tcBorders/>
            <w:vAlign w:val="bottom"/>
          </w:tcPr>
          <w:p>
            <w:pPr>
              <w:pStyle w:val="TableContents"/>
              <w:bidi w:val="0"/>
              <w:spacing w:before="0" w:after="283"/>
              <w:jc w:val="left"/>
              <w:rPr/>
            </w:pPr>
            <w:r>
              <w:rPr/>
              <w:t> </w:t>
            </w:r>
          </w:p>
        </w:tc>
      </w:tr>
      <w:tr>
        <w:trPr/>
        <w:tc>
          <w:tcPr>
            <w:tcW w:w="763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25,409,033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9,437,643</w:t>
            </w:r>
          </w:p>
        </w:tc>
        <w:tc>
          <w:tcPr>
            <w:tcW w:w="63" w:type="dxa"/>
            <w:tcBorders/>
            <w:shd w:fill="CCEEFF" w:val="clear"/>
            <w:vAlign w:val="bottom"/>
          </w:tcPr>
          <w:p>
            <w:pPr>
              <w:pStyle w:val="TableContents"/>
              <w:bidi w:val="0"/>
              <w:spacing w:before="0" w:after="283"/>
              <w:jc w:val="left"/>
              <w:rPr/>
            </w:pPr>
            <w:r>
              <w:rPr/>
              <w:t> </w:t>
            </w:r>
          </w:p>
        </w:tc>
      </w:tr>
      <w:tr>
        <w:trPr/>
        <w:tc>
          <w:tcPr>
            <w:tcW w:w="7638"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12. Subsequent Events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evaluated subsequent events from June 30, 2024 through August 5, 2024, the date these unaudited condensed consolidated financial statements were available to be issued, and has not identified any items requiring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BIOAGE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Events Subsequent to Original Issuance of Condensed Consolidated Interim Consolidated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On September 17, 2024, the Company effected the Reverse Stock Split, pursuant to which every 4.4626 shares of the Companys common stock issued or outstanding were automatically reclassified into one new share of common stock, subject to the treatment of fractional shares as previously described, without any action on the part of the holders. For a description of the Reverse Stock Split, refer to Note 2, </w:t>
      </w:r>
      <w:r>
        <w:rPr>
          <w:rFonts w:ascii="Times New Roman" w:hAnsi="Times New Roman"/>
          <w:i/>
          <w:sz w:val="20"/>
        </w:rPr>
        <w:t>Nature of Business and LiquiditySummary of Significant Accounting Principles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In August 2024, the Board of Directors approved the grant of 245,245 options to purchase shares of the Companys common stock to employees, a board member, and an advisor under the 2015 Equity Incentive Plan. These options vest over three- and four-year periods and have an exercise price of $10.72 per share, which was equal to the estimated fair value of the Companys common stock at the date of grant.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also approved the grant of 510,467 options to purchase shares of the Companys common stock to the Companys Chief Executive Officer, certain employees, and non-employee directors under the 2024 Equity Incentive Plan immediately following effectiveness of the registration statement at an exercise price equal to the initial public offering price per share. The options to be granted to the Companys Chief Executive Officer and certain employees vest over a four-year period and the options granted to the Companys non-employee directors vest on the earlier of (a) the date of the next annual meeting of the Companys stockholders and (b) one year following the date the Companys IPO is declared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36"/>
        </w:rPr>
      </w:pPr>
      <w:r>
        <w:rPr>
          <w:rFonts w:ascii="Times New Roman" w:hAnsi="Times New Roman"/>
          <w:b/>
          <w:sz w:val="36"/>
        </w:rPr>
        <w:t xml:space="preserve">11,000,000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5170" cy="340995"/>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1995170" cy="340995"/>
                    </a:xfrm>
                    <a:prstGeom prst="rect">
                      <a:avLst/>
                    </a:prstGeom>
                  </pic:spPr>
                </pic:pic>
              </a:graphicData>
            </a:graphic>
          </wp:inline>
        </w:drawing>
      </w:r>
      <w:r>
        <w:rPr/>
        <w:t xml:space="preserve"> </w:t>
      </w:r>
    </w:p>
    <w:p>
      <w:pPr>
        <w:pStyle w:val="TextBody"/>
        <w:bidi w:val="0"/>
        <w:spacing w:before="19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920" w:after="0"/>
        <w:jc w:val="center"/>
        <w:rPr>
          <w:rFonts w:ascii="Times New Roman" w:hAnsi="Times New Roman"/>
          <w:b/>
          <w:sz w:val="28"/>
        </w:rPr>
      </w:pPr>
      <w:r>
        <w:rPr>
          <w:rFonts w:ascii="Times New Roman" w:hAnsi="Times New Roman"/>
          <w:b/>
          <w:sz w:val="28"/>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6"/>
        <w:gridCol w:w="120"/>
        <w:gridCol w:w="2667"/>
        <w:gridCol w:w="120"/>
        <w:gridCol w:w="1742"/>
        <w:gridCol w:w="96"/>
        <w:gridCol w:w="1854"/>
      </w:tblGrid>
      <w:tr>
        <w:trPr/>
        <w:tc>
          <w:tcPr>
            <w:tcW w:w="3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283"/>
              <w:jc w:val="left"/>
              <w:rPr>
                <w:b/>
              </w:rPr>
            </w:pPr>
            <w:r>
              <w:rPr>
                <w:b/>
              </w:rPr>
              <w:t>Goldman Sachs &amp; Co. LLC</w:t>
            </w:r>
          </w:p>
        </w:tc>
        <w:tc>
          <w:tcPr>
            <w:tcW w:w="120" w:type="dxa"/>
            <w:tcBorders/>
            <w:vAlign w:val="bottom"/>
          </w:tcPr>
          <w:p>
            <w:pPr>
              <w:pStyle w:val="TableContents"/>
              <w:bidi w:val="0"/>
              <w:spacing w:before="0" w:after="283"/>
              <w:jc w:val="left"/>
              <w:rPr/>
            </w:pPr>
            <w:r>
              <w:rPr/>
              <w:t>  </w:t>
            </w:r>
          </w:p>
        </w:tc>
        <w:tc>
          <w:tcPr>
            <w:tcW w:w="2667" w:type="dxa"/>
            <w:tcBorders/>
          </w:tcPr>
          <w:p>
            <w:pPr>
              <w:pStyle w:val="TableContents"/>
              <w:bidi w:val="0"/>
              <w:spacing w:before="0" w:after="283"/>
              <w:jc w:val="center"/>
              <w:rPr/>
            </w:pPr>
            <w:r>
              <w:rPr/>
              <w:t>    </w:t>
            </w:r>
            <w:r>
              <w:rPr>
                <w:b/>
              </w:rPr>
              <w:t>Morgan Stanley</w:t>
            </w:r>
          </w:p>
        </w:tc>
        <w:tc>
          <w:tcPr>
            <w:tcW w:w="120" w:type="dxa"/>
            <w:tcBorders/>
            <w:vAlign w:val="bottom"/>
          </w:tcPr>
          <w:p>
            <w:pPr>
              <w:pStyle w:val="TableContents"/>
              <w:bidi w:val="0"/>
              <w:spacing w:before="0" w:after="283"/>
              <w:jc w:val="left"/>
              <w:rPr/>
            </w:pPr>
            <w:r>
              <w:rPr/>
              <w:t>  </w:t>
            </w:r>
          </w:p>
        </w:tc>
        <w:tc>
          <w:tcPr>
            <w:tcW w:w="1742" w:type="dxa"/>
            <w:tcBorders/>
          </w:tcPr>
          <w:p>
            <w:pPr>
              <w:pStyle w:val="TableContents"/>
              <w:bidi w:val="0"/>
              <w:spacing w:before="0" w:after="283"/>
              <w:jc w:val="center"/>
              <w:rPr/>
            </w:pPr>
            <w:r>
              <w:rPr/>
              <w:t>  </w:t>
            </w:r>
            <w:r>
              <w:rPr>
                <w:b/>
              </w:rPr>
              <w:t>Jefferies</w:t>
            </w:r>
          </w:p>
        </w:tc>
        <w:tc>
          <w:tcPr>
            <w:tcW w:w="96" w:type="dxa"/>
            <w:tcBorders/>
            <w:vAlign w:val="bottom"/>
          </w:tcPr>
          <w:p>
            <w:pPr>
              <w:pStyle w:val="TableContents"/>
              <w:bidi w:val="0"/>
              <w:spacing w:before="0" w:after="283"/>
              <w:jc w:val="left"/>
              <w:rPr/>
            </w:pPr>
            <w:r>
              <w:rPr/>
              <w:t> </w:t>
            </w:r>
          </w:p>
        </w:tc>
        <w:tc>
          <w:tcPr>
            <w:tcW w:w="1854" w:type="dxa"/>
            <w:tcBorders/>
          </w:tcPr>
          <w:p>
            <w:pPr>
              <w:pStyle w:val="TableContents"/>
              <w:bidi w:val="0"/>
              <w:spacing w:before="0" w:after="283"/>
              <w:jc w:val="right"/>
              <w:rPr>
                <w:b/>
              </w:rPr>
            </w:pPr>
            <w:r>
              <w:rPr>
                <w:b/>
              </w:rPr>
              <w:t>Citigroup</w:t>
            </w:r>
          </w:p>
        </w:tc>
      </w:tr>
    </w:tbl>
    <w:p>
      <w:pPr>
        <w:pStyle w:val="TextBody"/>
        <w:bidi w:val="0"/>
        <w:spacing w:before="1920" w:after="0"/>
        <w:jc w:val="center"/>
        <w:rPr>
          <w:rFonts w:ascii="Times New Roman" w:hAnsi="Times New Roman"/>
          <w:b/>
          <w:sz w:val="20"/>
        </w:rPr>
      </w:pPr>
      <w:r>
        <w:rPr>
          <w:rFonts w:ascii="Times New Roman" w:hAnsi="Times New Roman"/>
          <w:b/>
          <w:sz w:val="20"/>
        </w:rPr>
        <w:t xml:space="preserve">September 25, 2024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6.jpeg"/><Relationship Id="rId9" Type="http://schemas.openxmlformats.org/officeDocument/2006/relationships/image" Target="media/image2.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4.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2.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jpeg"/><Relationship Id="rId45" Type="http://schemas.openxmlformats.org/officeDocument/2006/relationships/image" Target="media/image39.jpeg"/><Relationship Id="rId46" Type="http://schemas.openxmlformats.org/officeDocument/2006/relationships/image" Target="media/image40.jpeg"/><Relationship Id="rId47" Type="http://schemas.openxmlformats.org/officeDocument/2006/relationships/image" Target="media/image41.jpeg"/><Relationship Id="rId48" Type="http://schemas.openxmlformats.org/officeDocument/2006/relationships/image" Target="media/image42.jpeg"/><Relationship Id="rId49" Type="http://schemas.openxmlformats.org/officeDocument/2006/relationships/image" Target="media/image43.jpeg"/><Relationship Id="rId50" Type="http://schemas.openxmlformats.org/officeDocument/2006/relationships/image" Target="media/image44.jpeg"/><Relationship Id="rId51" Type="http://schemas.openxmlformats.org/officeDocument/2006/relationships/image" Target="media/image45.jpeg"/><Relationship Id="rId52" Type="http://schemas.openxmlformats.org/officeDocument/2006/relationships/image" Target="media/image46.jpeg"/><Relationship Id="rId53" Type="http://schemas.openxmlformats.org/officeDocument/2006/relationships/image" Target="media/image47.jpeg"/><Relationship Id="rId54" Type="http://schemas.openxmlformats.org/officeDocument/2006/relationships/image" Target="media/image48.jpeg"/><Relationship Id="rId55" Type="http://schemas.openxmlformats.org/officeDocument/2006/relationships/image" Target="media/image1.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274</Pages>
  <Words>149185</Words>
  <Characters>814026</Characters>
  <CharactersWithSpaces>968350</CharactersWithSpaces>
  <Paragraphs>14961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