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ioa-20260630.htm"/>
      <w:bookmarkStart w:id="1" w:name="ksbioa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001-42279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BIOAGE LABS,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47-4721157</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5885 Hollis St, Suite 370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Emeryville,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(510) 806-1445</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3376"/>
        <w:gridCol w:w="146"/>
        <w:gridCol w:w="826"/>
        <w:gridCol w:w="146"/>
        <w:gridCol w:w="3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BIOA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31, 2026, the registrant had 45,896,909</w:t>
      </w:r>
      <w:r>
        <w:rPr>
          <w:rFonts w:ascii="Times New Roman" w:hAnsi="Times New Roman"/>
          <w:color w:val="000000"/>
          <w:sz w:val="20"/>
        </w:rPr>
        <w:t xml:space="preserve"> </w:t>
      </w:r>
      <w:r>
        <w:rPr>
          <w:rFonts w:ascii="Times New Roman" w:hAnsi="Times New Roman"/>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Consolidated Statements of Operations and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_and_stockholders_deficit">
              <w:r>
                <w:rPr>
                  <w:rStyle w:val="InternetLink"/>
                  <w:rFonts w:ascii="Times New Roman" w:hAnsi="Times New Roman"/>
                  <w:color w:val="0000FF"/>
                  <w:sz w:val="20"/>
                  <w:u w:val="single"/>
                </w:rPr>
                <w:t>Condensed Consolidated Statements of Stockholders’ Equity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(this Quarterly Report) contains forward-looking statements. All statements other than statements of historical facts contained in this Quarterly Report are forward-looking statements. In some cases, you can identify forward-looking statements by terms such as “aim,” “may,” “will,” “should,” “expect,” “forecast,”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including without limitation statements regarding our plans to develop and commercialize our product candidates, including BGE-102 and our APJ programs, the potential for BGE-102 as a treatment for diseases driven by inflammation including retinal diseases such as diabetic macular edema and the expected timeline for data readouts from our ongoing Phase 2 dose-ranging clinical trial, the timing and results of our ongoing or planned preclinical studies and clinical trials, risks associated with clinical trials, including our ability to adequately manage clinical activities, the timing of IND filings for our APJ programs, unexpected concerns that may arise from additional data or analysis obtained during clinical trials, the timing of and our ability to obtain and maintain regulatory approvals, the clinical utility of our product candidates, our commercialization, marketing and manufacturing capabilities and strategy, our expectations about the willingness of healthcare professionals to use our product candidates, the sufficiency of our cash, cash equivalents, and marketable securities, general economic, industry and market conditions, including fluctuating interest rates and inflation, cybersecurity incidents, significant political, trade or regulatory developments, including tariffs, any future federal government shutdowns, or shifting priorities within the U.S. Food and Drug Administration, and political instability and military hostilities in multiple geographies, such as the conflicts in Ukraine, Venezuela, Iran, tensions between China and Taiwan and the possibility of a wider Middle Eastern, European or global conflict, on our operations and the receipt and timing of potential regulatory designations, approvals and commercialization of product candidates, and the plans and objectives of management for future operations and capital expenditures are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 this Quarterly Report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known and unknown risks, uncertainties, and assumptions, including those described under the sections in this Quarterly Report entitled “Risk Factors” and “Management’s Discussion and Analysis of Financial Condition and Results of Operations” and elsewhere in this Quarterly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to be covered by the safe harbor provisions for forward-looking statements contained in Section 27A of the Securities Act of 1933, as amended, or the Securities Act, and Section 21E of the Securities Exchange Act of 1934, as amended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Unaudited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BIOAGE LABS, INC.</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Unaudited 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information)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1"/>
        <w:gridCol w:w="146"/>
        <w:gridCol w:w="211"/>
        <w:gridCol w:w="841"/>
        <w:gridCol w:w="166"/>
        <w:gridCol w:w="146"/>
        <w:gridCol w:w="222"/>
        <w:gridCol w:w="889"/>
        <w:gridCol w:w="793"/>
      </w:tblGrid>
      <w:tr>
        <w:trPr/>
        <w:tc>
          <w:tcPr>
            <w:tcW w:w="6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188,888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92,210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286,793</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294,889</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20,138</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$0.00001 par value; 10,000,000 shares authorized as of June 30, 2026 and December 31, 2025; no shares issued or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$0.00001 par value; 500,000,000 shares authorized as of June 30, 2026 and December 31, 2025; 45,776,902 and 37,386,908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605,189</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(333,416</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272,051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294,889</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BIOAGE LABS, INC.</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Unaudited 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information)</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166"/>
        <w:gridCol w:w="146"/>
        <w:gridCol w:w="211"/>
        <w:gridCol w:w="1036"/>
        <w:gridCol w:w="166"/>
        <w:gridCol w:w="146"/>
        <w:gridCol w:w="211"/>
        <w:gridCol w:w="1036"/>
        <w:gridCol w:w="7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(loss) from changes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44,838,893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35,850,037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43,666,204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35,850,037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Unrealized holding gains (losses)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BIOAGE LABS, INC.</w:t>
      </w:r>
    </w:p>
    <w:p>
      <w:pPr>
        <w:pStyle w:val="TextBody"/>
        <w:bidi w:val="0"/>
        <w:jc w:val="center"/>
        <w:rPr>
          <w:rFonts w:ascii="Times New Roman" w:hAnsi="Times New Roman"/>
          <w:b/>
          <w:color w:val="000000"/>
          <w:sz w:val="20"/>
        </w:rPr>
      </w:pPr>
      <w:bookmarkStart w:id="6" w:name="stock_and_stockholders_deficit"/>
      <w:bookmarkEnd w:id="6"/>
      <w:r>
        <w:rPr>
          <w:rFonts w:ascii="Times New Roman" w:hAnsi="Times New Roman"/>
          <w:b/>
          <w:color w:val="000000"/>
          <w:sz w:val="20"/>
        </w:rPr>
        <w:t>Unaudited 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information)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0"/>
        <w:gridCol w:w="146"/>
        <w:gridCol w:w="146"/>
        <w:gridCol w:w="916"/>
        <w:gridCol w:w="146"/>
        <w:gridCol w:w="146"/>
        <w:gridCol w:w="206"/>
        <w:gridCol w:w="365"/>
        <w:gridCol w:w="146"/>
        <w:gridCol w:w="146"/>
        <w:gridCol w:w="196"/>
        <w:gridCol w:w="691"/>
        <w:gridCol w:w="146"/>
        <w:gridCol w:w="146"/>
        <w:gridCol w:w="316"/>
        <w:gridCol w:w="705"/>
        <w:gridCol w:w="166"/>
        <w:gridCol w:w="146"/>
        <w:gridCol w:w="196"/>
        <w:gridCol w:w="751"/>
        <w:gridCol w:w="166"/>
        <w:gridCol w:w="146"/>
        <w:gridCol w:w="198"/>
        <w:gridCol w:w="700"/>
        <w:gridCol w:w="213"/>
      </w:tblGrid>
      <w:tr>
        <w:trPr/>
        <w:tc>
          <w:tcPr>
            <w:tcW w:w="2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37,386,908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605,189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(333,416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272,051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Underwritten stock offering, net of underwriting discounts and commissions, and offering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(22,253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44,386,785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734,717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(355,669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379,121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shares under at-the-market sales agreement, net of placement agent fee and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45,776,902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757,157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(381,766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374,913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1" w:type="dxa"/>
        <w:jc w:val="left"/>
        <w:tblInd w:w="0" w:type="dxa"/>
        <w:tblLayout w:type="fixed"/>
        <w:tblCellMar>
          <w:top w:w="28" w:type="dxa"/>
          <w:left w:w="28" w:type="dxa"/>
          <w:bottom w:w="28" w:type="dxa"/>
          <w:right w:w="28" w:type="dxa"/>
        </w:tblCellMar>
      </w:tblPr>
      <w:tblGrid>
        <w:gridCol w:w="2926"/>
        <w:gridCol w:w="146"/>
        <w:gridCol w:w="146"/>
        <w:gridCol w:w="916"/>
        <w:gridCol w:w="146"/>
        <w:gridCol w:w="146"/>
        <w:gridCol w:w="206"/>
        <w:gridCol w:w="365"/>
        <w:gridCol w:w="146"/>
        <w:gridCol w:w="146"/>
        <w:gridCol w:w="196"/>
        <w:gridCol w:w="691"/>
        <w:gridCol w:w="146"/>
        <w:gridCol w:w="146"/>
        <w:gridCol w:w="349"/>
        <w:gridCol w:w="672"/>
        <w:gridCol w:w="166"/>
        <w:gridCol w:w="146"/>
        <w:gridCol w:w="196"/>
        <w:gridCol w:w="751"/>
        <w:gridCol w:w="166"/>
        <w:gridCol w:w="146"/>
        <w:gridCol w:w="205"/>
        <w:gridCol w:w="725"/>
        <w:gridCol w:w="21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35,850,037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575,693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(252,811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323,127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35,850,037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578,642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(265,739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313,167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35,850,037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581,871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(287,302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294,781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BIOAGE LABS, INC.</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32"/>
        <w:gridCol w:w="146"/>
        <w:gridCol w:w="211"/>
        <w:gridCol w:w="841"/>
        <w:gridCol w:w="166"/>
        <w:gridCol w:w="146"/>
        <w:gridCol w:w="211"/>
        <w:gridCol w:w="841"/>
        <w:gridCol w:w="411"/>
      </w:tblGrid>
      <w:tr>
        <w:trPr/>
        <w:tc>
          <w:tcPr>
            <w:tcW w:w="7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from changes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net investment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underwritten offering of common stock, net of underwriting discounts and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Underwritten offering issuance costs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through at-the-market facility,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costs paid on at-the market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principal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term loan final fee for loan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shares upon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changes in exchange rate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common stock issuance costs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from stock option exercises included in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BIOAGE LABS, INC.</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Unaudited Notes to Condensed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 Basis of Presentation and Significant Accounting Policies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Nature of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BioAge Labs, Inc. (the “Company”) is a clinical-stage biopharmaceutical company developing therapeutic product candidates for cardiometabolic diseases by targeting the biology of human aging. The Company's technology platform and differentiated human datasets enable the Company to identify promising targets based on insights into molecular changes that drive aging.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was incorporated in 2015 in the State of Delaware and is headquartered in Emeryville, California.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2, 2025, the Company filed a universal shelf registration statement on Form S-3 (the “Registration Statement”) with the SEC, as amended on November 5, 2025, and entered into a sales agreement with Leerink Partners LLC, under which the Company may, from time to time, offer and sell common stock having an aggregate offering value of up to $75.0 million, referred to as the “at-the-market” program. The Company may terminate this at-the-market program at any time, pursuant to its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2,400,000 shares of the Company's common stock had been offered or sold pursuant to the “at-the-market” program for gross proceeds of approximately $33.9 million, before deducting sales agent commission and offering costs of approximately $1.2 million, resulting in net proceeds of approximately $32.7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2026, the Company completed an underwritten public offering of its common stock, issuing 5,897,435 shares at a public offering price of $19.50 per share for net proceeds of $107.4 million, after underwriting discounts and commissions and offering costs (the "January 2026 Public Offering"). The January 2026 Public Offering included a 30-day option for the underwriters to purchase up to 884,615 additional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2026, the Company issued 884,615 shares of its common stock upon exercise of the underwriters’ option in the January 2026 Public Offering, resulting in net proceeds of $16.2 million, net of underwriting discounts and commissions.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inception, the Company’s operations have consisted primarily of organizing and staffing the Company, business planning, raising capital, establishing its intellectual property portfolio, acquiring or discovering product candidates, research and development activities for its product candidates, establishing arrangements with third parties for the manufacture of its product candidates and component materials, and providing general and administrative support for these operations. The Company has not generated any product revenue to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losses and negative cash flows from operations since inception and had an accumulated deficit of $381.8 million as of June 30, 2026. The Company anticipates incurring additional losses until such time, if ever, that it can generate significant sales of its products currently in development. As of June 30, 2026, the Company had cash, cash equivalents, and marketable securities of $381.3 million, of which $62.5 million were long-term marketable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Current cash, cash equivalents, and marketable securities are sufficient to fund planned operations for at least one year after the date these unaudited condensed consolidated financial statements are issued. Accordingly, these unaudited condensed consolidated financial statements have been prepared on a going concern basis and do not include any adjustments to the amounts and classification of assets and liabilities that may be necessary in the event the Company can no longer continue as a going concern.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such time, if ever, the Company can generate substantial product revenues, it expects to finance its cash needs through equity offerings, debt financings or other capital sources, which could include collaborations, strategic alliances or licensing arrangements. To the extent that the Company raises additional capital through the sale of equity or convertible debt securities, the ownership interests of its existing stockholders may be diluted, and the terms of these securities may include liquidation or other preferences that could adversely affect the rights of such stockholders. Debt financing, if available, may involve agreements that include restrictive covenants that limit the Company’s ability to take specific actions, such as incurring additional debt, making capital expenditures or declaring dividends, that could adversely impact the Company’s ability to conduct its business. If the Company raises additional funds through collaborations, strategic alliances or licensing arrangements with third parties, the Company may have to relinquish valuable rights to the Company’s technologies, future revenue streams, research program or product candidates, or grant licenses on terms that may not be favorable to the Company. If the Company is unable to raise additional funds through equity or debt financings when needed, the Company may be required to delay, limit, reduce or terminate its product development or future commercialization efforts or grant rights to develop and market product candidates that the Company would otherwise prefer to develop and market itself.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conformity with United States of America generally accepted accounting principles (“GAAP”) and applicable rules and regulations of the Securities and Exchange Commission (the “SEC”) regarding interim financial reporting. Any reference in these notes to applicable guidance is meant to refer to GAAP as found in the Accounting Standards Codification (“ASC”) and Accounting Standards Updates (“ASU”) promulgated by the Financial Accounting Standards Board (“FASB”). The unaudited condensed consolidated financial statements include the accounts of BioAge Labs, Inc. and its wholly owned subsidiary, BioAge Labs PTY LTD. BioAge Labs PTY LTD was incorporated in Australia in December 2020. All intercompany accounts and transactions have been eliminated in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unaudited condensed consolidated financial statements presented in this Quarterly Report on Form 10-Q should be read in conjunction with the consolidated financial statements and accompanying notes included in the Company’s 2025 Annual Report on Form 10-K. The balance sheet as of December 31, 2025 was derived from audited consolidated financial statements included in the Company’s 2025 Annual Report on Form 10-K but does not include all disclosures required by GAAP.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information and footnote disclosures normally included in financial statements prepared in accordance with GAAP have been condensed or omitted from these interim financial statements. The interim results are not necessarily indicative of results to be expected for the full year.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as of the date of the condensed consolidated financial statements and the reported amounts of expenses during the reporting period. Actual results could differ from those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Estimates and assumptions are periodically reviewed and the effects of revisions are reflected in the condensed consolidated financial statements in the period they are determined to be necessary. Areas that require management’s estimates include warrant liability, stock-based compensation expense assumptions, recording revenue for performance obligations recognized over time, valuation of deferred tax assets, and estimating services expended by third-party service providers used to recognize research and development expense.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Cash Equivalents, and Marketable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considers all highly liquid investments that have original maturities of three months or less when acquired to be cash equivalents.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Marketable securities consist of high-grade debt securities. Marketable securities with maturities within twelve months from the balance sheet date are classified as short-term marketable securities and those with maturities over twelve months from the balance sheet date are classified as long-term marketable securities. The Company classifies all marketable securities as available-for-sale, which are recorded at fair value. Unrealized gains and losses are included in accumulated other comprehensive income (loss) in stockholders’ equity. As of and for the six months ended June 30, 2026 and 2025, the Company did not have any allowance for credit losses or impairments of its marketable securities.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Concentrations of Credit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credit risk consist primarily of accounts receivable, cash, cash equivalents, and marketable securities. Management monitors exposure to credit risk on an ongoing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invests its excess cash in investment-grade, liquid instruments in accordance with its investment policy. The Company maintains cash balances at financial institutions that may exceed federally insured limits and is exposed to credit risk in the event of a default by the financial institutions holding its cash and by issuers of its cash equivalents and marketable securities. The Company has not experienced any losses on its deposits of cash, cash equivalents, or marketable securities to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one customer accounted for 100% of the Company’s accounts receivable. For the six months ended June 30, 2026 and 2025, the same customer accounted for 100% of the Company’s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no financial instruments with off-balance sheet risk of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faces risks and uncertainties associated with companies in the biotechnology industry, including but not limited to the uncertainty of success of its preclinical studies and clinical trials, regulatory approval of product candidates, uncertainty of market acceptance of products, competition from substitute products and larger companies, the need for additional financing, compliance with government regulations, dependence on third parties, recruiting and retaining skilled personnel, and dependence on key members of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pStyle w:val="TextBody"/>
        <w:bidi w:val="0"/>
        <w:spacing w:before="240" w:after="240"/>
        <w:jc w:val="both"/>
        <w:rPr>
          <w:rFonts w:ascii="Times New Roman" w:hAnsi="Times New Roman"/>
          <w:sz w:val="20"/>
        </w:rPr>
      </w:pPr>
      <w:r>
        <w:rPr>
          <w:rFonts w:ascii="Times New Roman" w:hAnsi="Times New Roman"/>
          <w:b/>
          <w:i/>
          <w:color w:val="000000"/>
          <w:sz w:val="20"/>
        </w:rPr>
        <w:t>Summary of Significant Accounting Policies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 xml:space="preserve">The Company’s complete listing of significant accounting policies is set forth in Note 2. </w:t>
      </w:r>
      <w:r>
        <w:rPr>
          <w:rFonts w:ascii="Times New Roman" w:hAnsi="Times New Roman"/>
          <w:i/>
          <w:color w:val="000000"/>
          <w:sz w:val="20"/>
        </w:rPr>
        <w:t>Basis of Presentation and Significant Accounting Policies</w:t>
      </w:r>
      <w:r>
        <w:rPr>
          <w:rFonts w:ascii="Times New Roman" w:hAnsi="Times New Roman"/>
          <w:color w:val="000000"/>
          <w:sz w:val="20"/>
        </w:rPr>
        <w:t>, to the Notes to Consolidated Financial Statements in its Annual Report on Form 10-K for the fiscal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This standard calls for enhanced disclosures about components of expense captions on the face of the income statement. This standard will be effective for annual reporting periods beginning after December 15, 2026, and interim periods beginning after December 15, 2027, with early adoption permitted and the option for retrospective application. This ASU will result in the required additional disclosures being included in the Company's consolidated financial statements, once adopted, and will have no impact on the Company's 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Fair Value Measurements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GAAP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Fair value is established as the exchange price, or exit price, representing the amount that would be received to sell an asset or paid to transfer a liability in an orderly transaction between market participants. As a basis for considering market participant assumptions in fair value measurements, an established three-tier fair value hierarchy distinguishes between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inputs are quoted prices in active markets that are accessible at the market date for identical assets or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inputs are inputs other than quoted prices included within Level 1 that are observable for the asset or liability, either directly or indirectly.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instrument.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amounts of the Company’s other current assets, accounts payable, accrued expenses and other current liabilities reported in the condensed consolidated financial statements approximate their fair values due to their short-term nature.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fair value hierarchy table presents information about each major category of the Company’s financial assets and liabilities measured at fair value on a recurring basis (in thousands): </w:t>
      </w:r>
    </w:p>
    <w:p>
      <w:pPr>
        <w:pStyle w:val="TextBody"/>
        <w:bidi w:val="0"/>
        <w:jc w:val="left"/>
        <w:rPr/>
      </w:pPr>
      <w:r>
        <w:rPr/>
        <w:t> </w:t>
      </w:r>
    </w:p>
    <w:tbl>
      <w:tblPr>
        <w:tblW w:w="7670" w:type="dxa"/>
        <w:jc w:val="left"/>
        <w:tblInd w:w="0" w:type="dxa"/>
        <w:tblLayout w:type="fixed"/>
        <w:tblCellMar>
          <w:top w:w="28" w:type="dxa"/>
          <w:left w:w="28" w:type="dxa"/>
          <w:bottom w:w="28" w:type="dxa"/>
          <w:right w:w="28" w:type="dxa"/>
        </w:tblCellMar>
      </w:tblPr>
      <w:tblGrid>
        <w:gridCol w:w="2746"/>
        <w:gridCol w:w="146"/>
        <w:gridCol w:w="196"/>
        <w:gridCol w:w="691"/>
        <w:gridCol w:w="146"/>
        <w:gridCol w:w="146"/>
        <w:gridCol w:w="196"/>
        <w:gridCol w:w="691"/>
        <w:gridCol w:w="146"/>
        <w:gridCol w:w="146"/>
        <w:gridCol w:w="257"/>
        <w:gridCol w:w="493"/>
        <w:gridCol w:w="146"/>
        <w:gridCol w:w="146"/>
        <w:gridCol w:w="196"/>
        <w:gridCol w:w="691"/>
        <w:gridCol w:w="4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64,880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73,682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Treasury bill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116,504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81,622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29,035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244,781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35,244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62,518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fair value of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199,815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380,981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80" w:type="dxa"/>
        <w:jc w:val="left"/>
        <w:tblInd w:w="0" w:type="dxa"/>
        <w:tblLayout w:type="fixed"/>
        <w:tblCellMar>
          <w:top w:w="28" w:type="dxa"/>
          <w:left w:w="28" w:type="dxa"/>
          <w:bottom w:w="28" w:type="dxa"/>
          <w:right w:w="28" w:type="dxa"/>
        </w:tblCellMar>
      </w:tblPr>
      <w:tblGrid>
        <w:gridCol w:w="2746"/>
        <w:gridCol w:w="146"/>
        <w:gridCol w:w="196"/>
        <w:gridCol w:w="691"/>
        <w:gridCol w:w="146"/>
        <w:gridCol w:w="146"/>
        <w:gridCol w:w="196"/>
        <w:gridCol w:w="601"/>
        <w:gridCol w:w="146"/>
        <w:gridCol w:w="146"/>
        <w:gridCol w:w="257"/>
        <w:gridCol w:w="493"/>
        <w:gridCol w:w="146"/>
        <w:gridCol w:w="146"/>
        <w:gridCol w:w="196"/>
        <w:gridCol w:w="691"/>
        <w:gridCol w:w="4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182,234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188,612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41,093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92,210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fair value of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284,854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Equivalents and Marketable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equivalents include debt securities that have a maturity of three months or less from the original acquisition date. The Company’s money market funds, treasury bills and U.S. government bonds are included within Level 1 of the fair value hierarchy because they are valued using quoted market prices. Corporate debt securities, commercial paper and U.S. government agency bonds are classified within Level 2 of the fair value hierarchy as they take into consideration valuations obtained from third-party pricing services. The pricing services utilize industry standard valuation models, including both income-based and market-based approaches, for which all significant inputs are observable, either directly or indirectly, to estimate the fair value. These inputs include reported trades of and broker/dealer quotes on similar securities, issuer credit spreads, benchmark securities, prepayment/default projections based on historical data and other observable inputs.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summarize the Company's cash equivalents and marketable securities' amortized costs, gross unrealized gains, gross unrealized losses, and estimated fair values by significant investment category (in thousands):</w:t>
      </w:r>
    </w:p>
    <w:p>
      <w:pPr>
        <w:pStyle w:val="TextBody"/>
        <w:bidi w:val="0"/>
        <w:jc w:val="both"/>
        <w:rPr/>
      </w:pPr>
      <w:r>
        <w:rPr/>
        <w:t> </w:t>
      </w:r>
    </w:p>
    <w:tbl>
      <w:tblPr>
        <w:tblW w:w="9837" w:type="dxa"/>
        <w:jc w:val="left"/>
        <w:tblInd w:w="0" w:type="dxa"/>
        <w:tblLayout w:type="fixed"/>
        <w:tblCellMar>
          <w:top w:w="28" w:type="dxa"/>
          <w:left w:w="28" w:type="dxa"/>
          <w:bottom w:w="28" w:type="dxa"/>
          <w:right w:w="28" w:type="dxa"/>
        </w:tblCellMar>
      </w:tblPr>
      <w:tblGrid>
        <w:gridCol w:w="2556"/>
        <w:gridCol w:w="446"/>
        <w:gridCol w:w="1696"/>
        <w:gridCol w:w="446"/>
        <w:gridCol w:w="275"/>
        <w:gridCol w:w="970"/>
        <w:gridCol w:w="146"/>
        <w:gridCol w:w="146"/>
        <w:gridCol w:w="196"/>
        <w:gridCol w:w="436"/>
        <w:gridCol w:w="166"/>
        <w:gridCol w:w="146"/>
        <w:gridCol w:w="196"/>
        <w:gridCol w:w="346"/>
        <w:gridCol w:w="146"/>
        <w:gridCol w:w="146"/>
        <w:gridCol w:w="196"/>
        <w:gridCol w:w="691"/>
        <w:gridCol w:w="491"/>
      </w:tblGrid>
      <w:tr>
        <w:trPr/>
        <w:tc>
          <w:tcPr>
            <w:tcW w:w="255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Maturity</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Money market funds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or less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64,880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agency bonds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or less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equivalents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73,682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Treasury bill</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Less than 1</w:t>
            </w:r>
            <w:r>
              <w:rPr>
                <w:rFonts w:ascii="Times New Roman" w:hAnsi="Times New Roman"/>
                <w:color w:val="000000"/>
                <w:sz w:val="20"/>
              </w:rPr>
              <w:t> </w:t>
            </w:r>
            <w:r>
              <w:rPr>
                <w:rFonts w:ascii="Times New Roman" w:hAnsi="Times New Roman"/>
                <w:color w:val="000000"/>
                <w:sz w:val="16"/>
              </w:rPr>
              <w:t>year</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bonds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Less than 1</w:t>
            </w:r>
            <w:r>
              <w:rPr>
                <w:rFonts w:ascii="Times New Roman" w:hAnsi="Times New Roman"/>
                <w:color w:val="000000"/>
                <w:sz w:val="20"/>
              </w:rPr>
              <w:t> </w:t>
            </w:r>
            <w:r>
              <w:rPr>
                <w:rFonts w:ascii="Times New Roman" w:hAnsi="Times New Roman"/>
                <w:color w:val="000000"/>
                <w:sz w:val="16"/>
              </w:rPr>
              <w:t>year</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116,504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agency bonds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Less than 1</w:t>
            </w:r>
            <w:r>
              <w:rPr>
                <w:rFonts w:ascii="Times New Roman" w:hAnsi="Times New Roman"/>
                <w:color w:val="000000"/>
                <w:sz w:val="20"/>
              </w:rPr>
              <w:t> </w:t>
            </w:r>
            <w:r>
              <w:rPr>
                <w:rFonts w:ascii="Times New Roman" w:hAnsi="Times New Roman"/>
                <w:color w:val="000000"/>
                <w:sz w:val="16"/>
              </w:rPr>
              <w:t>year</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81,622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Commercial paper</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Less than 1</w:t>
            </w:r>
            <w:r>
              <w:rPr>
                <w:rFonts w:ascii="Times New Roman" w:hAnsi="Times New Roman"/>
                <w:color w:val="000000"/>
                <w:sz w:val="20"/>
              </w:rPr>
              <w:t> </w:t>
            </w:r>
            <w:r>
              <w:rPr>
                <w:rFonts w:ascii="Times New Roman" w:hAnsi="Times New Roman"/>
                <w:color w:val="000000"/>
                <w:sz w:val="16"/>
              </w:rPr>
              <w:t>year</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 debt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Less than 1</w:t>
            </w:r>
            <w:r>
              <w:rPr>
                <w:rFonts w:ascii="Times New Roman" w:hAnsi="Times New Roman"/>
                <w:color w:val="000000"/>
                <w:sz w:val="20"/>
              </w:rPr>
              <w:t> </w:t>
            </w:r>
            <w:r>
              <w:rPr>
                <w:rFonts w:ascii="Times New Roman" w:hAnsi="Times New Roman"/>
                <w:color w:val="000000"/>
                <w:sz w:val="16"/>
              </w:rPr>
              <w:t>year</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29,035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corporate debt securities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Less than 1</w:t>
            </w:r>
            <w:r>
              <w:rPr>
                <w:rFonts w:ascii="Times New Roman" w:hAnsi="Times New Roman"/>
                <w:color w:val="000000"/>
                <w:sz w:val="20"/>
              </w:rPr>
              <w:t> </w:t>
            </w:r>
            <w:r>
              <w:rPr>
                <w:rFonts w:ascii="Times New Roman" w:hAnsi="Times New Roman"/>
                <w:color w:val="000000"/>
                <w:sz w:val="16"/>
              </w:rPr>
              <w:t>year</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marketable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244,781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bonds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w:t>
            </w:r>
            <w:r>
              <w:rPr>
                <w:rFonts w:ascii="Times New Roman" w:hAnsi="Times New Roman"/>
                <w:color w:val="000000"/>
                <w:sz w:val="20"/>
              </w:rPr>
              <w:t> </w:t>
            </w:r>
            <w:r>
              <w:rPr>
                <w:rFonts w:ascii="Times New Roman" w:hAnsi="Times New Roman"/>
                <w:color w:val="000000"/>
                <w:sz w:val="16"/>
              </w:rPr>
              <w:t>to 2</w:t>
            </w:r>
            <w:r>
              <w:rPr>
                <w:rFonts w:ascii="Times New Roman" w:hAnsi="Times New Roman"/>
                <w:color w:val="000000"/>
                <w:sz w:val="20"/>
              </w:rPr>
              <w:t> </w:t>
            </w:r>
            <w:r>
              <w:rPr>
                <w:rFonts w:ascii="Times New Roman" w:hAnsi="Times New Roman"/>
                <w:color w:val="000000"/>
                <w:sz w:val="16"/>
              </w:rPr>
              <w:t>years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agency bonds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w:t>
            </w:r>
            <w:r>
              <w:rPr>
                <w:rFonts w:ascii="Times New Roman" w:hAnsi="Times New Roman"/>
                <w:color w:val="000000"/>
                <w:sz w:val="20"/>
              </w:rPr>
              <w:t> </w:t>
            </w:r>
            <w:r>
              <w:rPr>
                <w:rFonts w:ascii="Times New Roman" w:hAnsi="Times New Roman"/>
                <w:color w:val="000000"/>
                <w:sz w:val="16"/>
              </w:rPr>
              <w:t>to 2 years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35,244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 debt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w:t>
            </w:r>
            <w:r>
              <w:rPr>
                <w:rFonts w:ascii="Times New Roman" w:hAnsi="Times New Roman"/>
                <w:color w:val="000000"/>
                <w:sz w:val="20"/>
              </w:rPr>
              <w:t> </w:t>
            </w:r>
            <w:r>
              <w:rPr>
                <w:rFonts w:ascii="Times New Roman" w:hAnsi="Times New Roman"/>
                <w:color w:val="000000"/>
                <w:sz w:val="16"/>
              </w:rPr>
              <w:t>to 2</w:t>
            </w:r>
            <w:r>
              <w:rPr>
                <w:rFonts w:ascii="Times New Roman" w:hAnsi="Times New Roman"/>
                <w:color w:val="000000"/>
                <w:sz w:val="20"/>
              </w:rPr>
              <w:t> </w:t>
            </w:r>
            <w:r>
              <w:rPr>
                <w:rFonts w:ascii="Times New Roman" w:hAnsi="Times New Roman"/>
                <w:color w:val="000000"/>
                <w:sz w:val="16"/>
              </w:rPr>
              <w:t>years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Long-term marketable securities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62,518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financial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381,607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380,981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791" w:type="dxa"/>
        <w:jc w:val="left"/>
        <w:tblInd w:w="0" w:type="dxa"/>
        <w:tblLayout w:type="fixed"/>
        <w:tblCellMar>
          <w:top w:w="28" w:type="dxa"/>
          <w:left w:w="28" w:type="dxa"/>
          <w:bottom w:w="28" w:type="dxa"/>
          <w:right w:w="28" w:type="dxa"/>
        </w:tblCellMar>
      </w:tblPr>
      <w:tblGrid>
        <w:gridCol w:w="2556"/>
        <w:gridCol w:w="446"/>
        <w:gridCol w:w="1696"/>
        <w:gridCol w:w="446"/>
        <w:gridCol w:w="275"/>
        <w:gridCol w:w="970"/>
        <w:gridCol w:w="146"/>
        <w:gridCol w:w="146"/>
        <w:gridCol w:w="201"/>
        <w:gridCol w:w="355"/>
        <w:gridCol w:w="166"/>
        <w:gridCol w:w="146"/>
        <w:gridCol w:w="196"/>
        <w:gridCol w:w="376"/>
        <w:gridCol w:w="146"/>
        <w:gridCol w:w="146"/>
        <w:gridCol w:w="196"/>
        <w:gridCol w:w="691"/>
        <w:gridCol w:w="491"/>
      </w:tblGrid>
      <w:tr>
        <w:trPr/>
        <w:tc>
          <w:tcPr>
            <w:tcW w:w="255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Maturity</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Money market funds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or less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182,234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Commercial paper</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or less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 debt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or less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equivalents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188,612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bonds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Less than 1</w:t>
            </w:r>
            <w:r>
              <w:rPr>
                <w:rFonts w:ascii="Times New Roman" w:hAnsi="Times New Roman"/>
                <w:color w:val="000000"/>
                <w:sz w:val="20"/>
              </w:rPr>
              <w:t> </w:t>
            </w:r>
            <w:r>
              <w:rPr>
                <w:rFonts w:ascii="Times New Roman" w:hAnsi="Times New Roman"/>
                <w:color w:val="000000"/>
                <w:sz w:val="16"/>
              </w:rPr>
              <w:t>year</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41,093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Commercial paper</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Less than 1</w:t>
            </w:r>
            <w:r>
              <w:rPr>
                <w:rFonts w:ascii="Times New Roman" w:hAnsi="Times New Roman"/>
                <w:color w:val="000000"/>
                <w:sz w:val="20"/>
              </w:rPr>
              <w:t> </w:t>
            </w:r>
            <w:r>
              <w:rPr>
                <w:rFonts w:ascii="Times New Roman" w:hAnsi="Times New Roman"/>
                <w:color w:val="000000"/>
                <w:sz w:val="16"/>
              </w:rPr>
              <w:t>year</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agency bonds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Less than 1</w:t>
            </w:r>
            <w:r>
              <w:rPr>
                <w:rFonts w:ascii="Times New Roman" w:hAnsi="Times New Roman"/>
                <w:color w:val="000000"/>
                <w:sz w:val="20"/>
              </w:rPr>
              <w:t> </w:t>
            </w:r>
            <w:r>
              <w:rPr>
                <w:rFonts w:ascii="Times New Roman" w:hAnsi="Times New Roman"/>
                <w:color w:val="000000"/>
                <w:sz w:val="16"/>
              </w:rPr>
              <w:t>year</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Corporate debt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Less than 1</w:t>
            </w:r>
            <w:r>
              <w:rPr>
                <w:rFonts w:ascii="Times New Roman" w:hAnsi="Times New Roman"/>
                <w:color w:val="000000"/>
                <w:sz w:val="20"/>
              </w:rPr>
              <w:t> </w:t>
            </w:r>
            <w:r>
              <w:rPr>
                <w:rFonts w:ascii="Times New Roman" w:hAnsi="Times New Roman"/>
                <w:color w:val="000000"/>
                <w:sz w:val="16"/>
              </w:rPr>
              <w:t>year</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corporate debt securities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Less than 1</w:t>
            </w:r>
            <w:r>
              <w:rPr>
                <w:rFonts w:ascii="Times New Roman" w:hAnsi="Times New Roman"/>
                <w:color w:val="000000"/>
                <w:sz w:val="20"/>
              </w:rPr>
              <w:t> </w:t>
            </w:r>
            <w:r>
              <w:rPr>
                <w:rFonts w:ascii="Times New Roman" w:hAnsi="Times New Roman"/>
                <w:color w:val="000000"/>
                <w:sz w:val="16"/>
              </w:rPr>
              <w:t>year</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marketable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92,210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U.S. government bonds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w:t>
            </w:r>
            <w:r>
              <w:rPr>
                <w:rFonts w:ascii="Times New Roman" w:hAnsi="Times New Roman"/>
                <w:color w:val="000000"/>
                <w:sz w:val="20"/>
              </w:rPr>
              <w:t> </w:t>
            </w:r>
            <w:r>
              <w:rPr>
                <w:rFonts w:ascii="Times New Roman" w:hAnsi="Times New Roman"/>
                <w:color w:val="000000"/>
                <w:sz w:val="16"/>
              </w:rPr>
              <w:t>to 2</w:t>
            </w:r>
            <w:r>
              <w:rPr>
                <w:rFonts w:ascii="Times New Roman" w:hAnsi="Times New Roman"/>
                <w:color w:val="000000"/>
                <w:sz w:val="20"/>
              </w:rPr>
              <w:t> </w:t>
            </w:r>
            <w:r>
              <w:rPr>
                <w:rFonts w:ascii="Times New Roman" w:hAnsi="Times New Roman"/>
                <w:color w:val="000000"/>
                <w:sz w:val="16"/>
              </w:rPr>
              <w:t>years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Long-term marketable securities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financial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284,732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284,854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does not intend to sell the securities in an unrealized loss position and does not expect they will be required to sell the securities before maturity. No allowance for credit losses has been recognized as of June 30, 2026 or December 31, 2025. During the six months ended June 30, 2026 and 2025, the Company did not recognize any impairment losses related to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and December 31, 2025, the Company had accrued interest receivable of $2.5 million and $1.2 million, respectively, which was included in the prepaid expenses and other current assets financial statement line item in the condensed consolidated balance sheets.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 Liability</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As of June 30, 2026, warrants to purchase 31,690 shares of common stock were outstanding. These warrants are classified as a liability since the warrants meet the classification requirements for liability accounting pursuant to ASC 815. This liability is subject to remeasurement at each balance sheet date until the warrants are exercised or expire, and any change in fair value is recognized in the Company’s condensed consolidated statements of operations. The Company classifies the warrant liability within Level 3 of the fair value hierarchy as the assessed fair value is based on both observable and unobservable market inputs including the Company's stock price, risk-free rate, and volatility.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sets forth the changes in fair value of the warrant liability for the six months ended June 30, 2026 (in thousands):</w:t>
      </w:r>
    </w:p>
    <w:tbl>
      <w:tblPr>
        <w:tblW w:w="3915" w:type="dxa"/>
        <w:jc w:val="left"/>
        <w:tblInd w:w="0" w:type="dxa"/>
        <w:tblLayout w:type="fixed"/>
        <w:tblCellMar>
          <w:top w:w="28" w:type="dxa"/>
          <w:left w:w="28" w:type="dxa"/>
          <w:bottom w:w="28" w:type="dxa"/>
          <w:right w:w="28" w:type="dxa"/>
        </w:tblCellMar>
      </w:tblPr>
      <w:tblGrid>
        <w:gridCol w:w="2746"/>
        <w:gridCol w:w="146"/>
        <w:gridCol w:w="211"/>
        <w:gridCol w:w="421"/>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3. Balance Sheet Components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Property and equipment consisted of the following (in thousands):</w:t>
      </w:r>
    </w:p>
    <w:p>
      <w:pPr>
        <w:pStyle w:val="TextBody"/>
        <w:bidi w:val="0"/>
        <w:jc w:val="both"/>
        <w:rPr/>
      </w:pPr>
      <w:r>
        <w:rPr/>
        <w:t> </w:t>
      </w:r>
    </w:p>
    <w:tbl>
      <w:tblPr>
        <w:tblW w:w="5650" w:type="dxa"/>
        <w:jc w:val="left"/>
        <w:tblInd w:w="0" w:type="dxa"/>
        <w:tblLayout w:type="fixed"/>
        <w:tblCellMar>
          <w:top w:w="28" w:type="dxa"/>
          <w:left w:w="28" w:type="dxa"/>
          <w:bottom w:w="28" w:type="dxa"/>
          <w:right w:w="28" w:type="dxa"/>
        </w:tblCellMar>
      </w:tblPr>
      <w:tblGrid>
        <w:gridCol w:w="2911"/>
        <w:gridCol w:w="146"/>
        <w:gridCol w:w="218"/>
        <w:gridCol w:w="592"/>
        <w:gridCol w:w="166"/>
        <w:gridCol w:w="146"/>
        <w:gridCol w:w="339"/>
        <w:gridCol w:w="921"/>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Depreciation expense was $0.1 million for the six months ended June 30, 2026 and 2025.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Accrued expenses consisted of the following (in thousands):</w:t>
      </w:r>
    </w:p>
    <w:p>
      <w:pPr>
        <w:pStyle w:val="TextBody"/>
        <w:bidi w:val="0"/>
        <w:jc w:val="both"/>
        <w:rPr/>
      </w:pPr>
      <w:r>
        <w:rPr/>
        <w:t> </w:t>
      </w:r>
    </w:p>
    <w:tbl>
      <w:tblPr>
        <w:tblW w:w="6960" w:type="dxa"/>
        <w:jc w:val="left"/>
        <w:tblInd w:w="0" w:type="dxa"/>
        <w:tblLayout w:type="fixed"/>
        <w:tblCellMar>
          <w:top w:w="28" w:type="dxa"/>
          <w:left w:w="28" w:type="dxa"/>
          <w:bottom w:w="28" w:type="dxa"/>
          <w:right w:w="28" w:type="dxa"/>
        </w:tblCellMar>
      </w:tblPr>
      <w:tblGrid>
        <w:gridCol w:w="4261"/>
        <w:gridCol w:w="146"/>
        <w:gridCol w:w="218"/>
        <w:gridCol w:w="592"/>
        <w:gridCol w:w="146"/>
        <w:gridCol w:w="146"/>
        <w:gridCol w:w="339"/>
        <w:gridCol w:w="92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4. Debt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Term Loan</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In May 2022, the Company entered into a loan and security agreement (the “Loan Agreement”) with SVB Innovative Credit Growth Fund IX, LP and Innovative Credit Growth Fund VIII-A, LP (collectively, the “Lenders”) pursuant to which the Company was eligible to borrow, and the Lenders were obligated to fund, up to $25.0 million in borrowing capacity across two potential tranches (the “Term Loan”). The Company borrowed an aggregate of $15.0 million under the Term Loan and did not draw the remaining borrowing capacity.</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Commencing on November 1, 2023, the Company was required to make monthly principal payments. The Company was required to pay a final payment fee equal to 4.4% of the total amount borrowed, or $0.7 million.</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Debt issuance costs, including the fair value of the warrants issued in connection with the Term Loan (see Note 2, Fair Value Measurements), were treated as debt discounts in the condensed consolidated balance sheet and together with the final payment were amortized to interest expense over the life of the Term Loan using the effective interest rate method.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$2.0 million of principal was outstanding under the Term Loan and was included in the current portion of term loan in the condensed consolidated balance sheets. The Term Loan matured on April 1, 2026, at which time the Company repaid all outstanding principal, accrued interest and the final payment fee in full.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5. Capital Structure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500,000,000 shares of common stock authorized as of June 30, 2026 and December 31, 2025. As of June 30, 2026 and December 31, 2025, there were 10,000,000 shares of preferred stock authorized and no preferred shares issued and outstanding. Common stock reserved for future issuance as of June 30, 2026 and December 31, 2025, consisted of the following:</w:t>
      </w:r>
    </w:p>
    <w:p>
      <w:pPr>
        <w:pStyle w:val="TextBody"/>
        <w:bidi w:val="0"/>
        <w:jc w:val="both"/>
        <w:rPr/>
      </w:pPr>
      <w:r>
        <w:rPr/>
        <w:t> </w:t>
      </w:r>
    </w:p>
    <w:tbl>
      <w:tblPr>
        <w:tblW w:w="8697" w:type="dxa"/>
        <w:jc w:val="left"/>
        <w:tblInd w:w="0" w:type="dxa"/>
        <w:tblLayout w:type="fixed"/>
        <w:tblCellMar>
          <w:top w:w="28" w:type="dxa"/>
          <w:left w:w="28" w:type="dxa"/>
          <w:bottom w:w="28" w:type="dxa"/>
          <w:right w:w="28" w:type="dxa"/>
        </w:tblCellMar>
      </w:tblPr>
      <w:tblGrid>
        <w:gridCol w:w="5626"/>
        <w:gridCol w:w="146"/>
        <w:gridCol w:w="146"/>
        <w:gridCol w:w="1036"/>
        <w:gridCol w:w="146"/>
        <w:gridCol w:w="146"/>
        <w:gridCol w:w="155"/>
        <w:gridCol w:w="1105"/>
        <w:gridCol w:w="191"/>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7,914,058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authorized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2,128,767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shares authorized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12,396,185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10,763,015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6. Stock-Based Compensation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 Option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its stock option plans, the Company’s board of directors may grant stock options to employees, directors and consultants. The Company issued stock options under the 2015 Equity Incentive Plan, as amended (the “2015 Plan”) until September 2024, when the 2024 Equity Incentive Plan (the “2024 Plan”) was adopted. There are no remaining shares available to be granted under the 2015 Plan. There were 4,016,756 and 5,137,166 stock options outstanding under the 2015 Plan and 2024 Plan, respectively, as of June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2024 Plan authorizes the award of incentive stock options ("ISOs"), which are intended to qualify for tax treatment under Section 422 of the U.S. Internal Revenue Code of 1986, as amended, and nonqualified stock options, Restricted Stock Awards, Stock Appreciation Rights, Restricted Stock Units (each as defined in the 2024 Plan), performance awards and stock bonus awards (each as defined in the 2024 Plan). The 2024 Plan initially reserved 3,650,000 shares of the Company's common stock, which includes any reserved shares not issued or subject to outstanding grants under the 2015 Plan on the effective date of the 2024 Plan, for issuance pursuant to awards granted under our 2024 Plan. The number of shares reserved for issuance under the 2024 Plan will increase automatically on January 1 of each of the first ten calendar years during the term of the 2024 Plan by the number of shares equal to the lesser of 5% of the aggregate number of all classes of the Company's common stock and the total number of shares of the Company's common stock subject to any pre-funded warrants, in each case, as issued and outstanding as of the immediately preceding December 31, or a number as may be determined by the Company's board of directors. Pursuant to the 2024 Plan, ISOs may be granted only to employees of the Company. The Company may grant all other types of awards to its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2,148,204 shares were available for future grants under the 2024 Plan. The 2024 Plan permits the granting of incentive stock options, non-statutory stock options, stock awards, and stock purchase rights. The terms of the agreements are determined by the board of directors. The Company’s stock options have a maximum term of 10 years and vest based on the terms in the agreements, generally over 4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stock option activity for the six months ended June 30, 2026:</w:t>
      </w:r>
    </w:p>
    <w:p>
      <w:pPr>
        <w:pStyle w:val="TextBody"/>
        <w:bidi w:val="0"/>
        <w:jc w:val="both"/>
        <w:rPr/>
      </w:pPr>
      <w:r>
        <w:rPr/>
        <w:t> </w:t>
      </w:r>
    </w:p>
    <w:tbl>
      <w:tblPr>
        <w:tblW w:w="8628" w:type="dxa"/>
        <w:jc w:val="left"/>
        <w:tblInd w:w="0" w:type="dxa"/>
        <w:tblLayout w:type="fixed"/>
        <w:tblCellMar>
          <w:top w:w="28" w:type="dxa"/>
          <w:left w:w="28" w:type="dxa"/>
          <w:bottom w:w="28" w:type="dxa"/>
          <w:right w:w="28" w:type="dxa"/>
        </w:tblCellMar>
      </w:tblPr>
      <w:tblGrid>
        <w:gridCol w:w="3211"/>
        <w:gridCol w:w="146"/>
        <w:gridCol w:w="146"/>
        <w:gridCol w:w="931"/>
        <w:gridCol w:w="166"/>
        <w:gridCol w:w="146"/>
        <w:gridCol w:w="263"/>
        <w:gridCol w:w="713"/>
        <w:gridCol w:w="146"/>
        <w:gridCol w:w="146"/>
        <w:gridCol w:w="324"/>
        <w:gridCol w:w="802"/>
        <w:gridCol w:w="146"/>
        <w:gridCol w:w="146"/>
        <w:gridCol w:w="213"/>
        <w:gridCol w:w="792"/>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intrinsic value of the stock options that were exercised during the six months ended June 30, 2026 was $8.3 million. There were no stock options exercised during the six months ended June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 date fair value of stock options granted during the six months ended June 30, 2026 and 2025 was $15.51 and $3.66, respectively, and were estimated on the date of grant using a Black-Scholes option pricing model with the following weighted-average assumptions:</w:t>
      </w:r>
    </w:p>
    <w:p>
      <w:pPr>
        <w:pStyle w:val="TextBody"/>
        <w:bidi w:val="0"/>
        <w:jc w:val="both"/>
        <w:rPr/>
      </w:pPr>
      <w:r>
        <w:rPr/>
        <w:t> </w:t>
      </w:r>
    </w:p>
    <w:tbl>
      <w:tblPr>
        <w:tblW w:w="6439" w:type="dxa"/>
        <w:jc w:val="left"/>
        <w:tblInd w:w="0" w:type="dxa"/>
        <w:tblLayout w:type="fixed"/>
        <w:tblCellMar>
          <w:top w:w="28" w:type="dxa"/>
          <w:left w:w="28" w:type="dxa"/>
          <w:bottom w:w="28" w:type="dxa"/>
          <w:right w:w="28" w:type="dxa"/>
        </w:tblCellMar>
      </w:tblPr>
      <w:tblGrid>
        <w:gridCol w:w="4126"/>
        <w:gridCol w:w="146"/>
        <w:gridCol w:w="146"/>
        <w:gridCol w:w="571"/>
        <w:gridCol w:w="271"/>
        <w:gridCol w:w="146"/>
        <w:gridCol w:w="146"/>
        <w:gridCol w:w="571"/>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of stock options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Stock-based compensation expense recorded as research and development and general and administrative expenses in the statements of operations and comprehensive loss is as follows (in thousands):</w:t>
      </w:r>
    </w:p>
    <w:p>
      <w:pPr>
        <w:pStyle w:val="TextBody"/>
        <w:bidi w:val="0"/>
        <w:jc w:val="both"/>
        <w:rPr/>
      </w:pPr>
      <w:r>
        <w:rPr/>
        <w:t> </w:t>
      </w:r>
    </w:p>
    <w:tbl>
      <w:tblPr>
        <w:tblW w:w="7810" w:type="dxa"/>
        <w:jc w:val="left"/>
        <w:tblInd w:w="0" w:type="dxa"/>
        <w:tblLayout w:type="fixed"/>
        <w:tblCellMar>
          <w:top w:w="28" w:type="dxa"/>
          <w:left w:w="28" w:type="dxa"/>
          <w:bottom w:w="28" w:type="dxa"/>
          <w:right w:w="28" w:type="dxa"/>
        </w:tblCellMar>
      </w:tblPr>
      <w:tblGrid>
        <w:gridCol w:w="3451"/>
        <w:gridCol w:w="146"/>
        <w:gridCol w:w="213"/>
        <w:gridCol w:w="577"/>
        <w:gridCol w:w="147"/>
        <w:gridCol w:w="147"/>
        <w:gridCol w:w="213"/>
        <w:gridCol w:w="577"/>
        <w:gridCol w:w="146"/>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there was $44.1 million of unrecognized compensation cost that is expected to be recognized over a weighted average period of 2.8 years.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September 2024, the Company adopted the 2024 Employee Stock Purchase Plan (the "2024 ESPP"). The 2024 ESPP enables eligible employees to purchase shares of the Company's common stock with accumulated payroll deductions. The Company has initially reserved 330,000 shares of its common stock for sale under the 2024 ESPP. The aggregate number of shares issued over the term of the 2024 ESPP, subject to stock-splits, recapitalizations or similar events, may not exceed 3,300,000 shares of the Company's common stock. As of June 30, 2026, there were a total of 1,062,369 shares available for future purchase under the 2024 ESPP.</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entered into indemnification agreements with directors and certain officers that will require the Company, among other things, to indemnify them against certain liabilities that may arise by reason of their status or service as directors or officers. No demands have been made upon the Company to provide indemnification under such agreements, and thus, there are no claims that the Company is aware of that could have a material effect on the unaudited condensed consolidated financial statements. The Company also maintains director and officer insurance, which may cover certain liabilities arising from the Company’s obligation to indemnify its directors and officers. To date, the Company has not incurred any costs and has not accrued any liabilities in the unaudited condensed consolidated financial statements as a result of these provisions.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January 7, 2025, a putative securities class action complaint was filed against the Company and certain of its officers and directors in the United States District Court for the Northern District of California (the "Court"). The complaint alleged violations of Section 11 and Section 15 of the Securities Act, based on allegations that defendants misrepresented and/or omitted certain information in the Company’s initial public offering registration statement concerning azelaprag. An amended complaint was filed on June 2, 2025. On October 30, 2025, the Court entered an order granting defendants’ motion to dismiss without prejudice. On November 20, 2025, a further amended complaint was filed. On March 2, 2026, the Court entered an order granting defendants’ further motion to dismiss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prejudice. On March 27, 2026, the plaintiff filed a notice of appeal of the Court’s order granting defendants’ motion to dismiss. On July 22, 2026, the plaintiff filed its opening brief in the United States Court of Appeals for the Ninth Circuit. Defendants’ answering brief is due on September 18, 2026, and any reply brief from the plaintiff is due by October 2, 2026. Oral argument, to the extent scheduled, would likely occur in early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in the ordinary course of business, the Company is subject to legal proceedings. The Company accrues a liability for such matters when it is probable that a liability has been incurred and that the amount can be reasonably estimated. Legal fees and other costs associated with such proceedings are expensed as incurred.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August 2017, the Company entered into an agreement to lease office and lab space in Richmond, California, which the Company used for its corporate offices and research facility (the “Richmond Lease”). The Richmond Lease expired in August 2025. The Company recognized rent expense on a straight-line basis over the lease term.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September 2024, the Company entered into an agreement to lease approximately 10,479 square feet of office and lab space in Emeryville, California (the "Emeryville Lease"). The Emeryville Lease commenced on February 25, 2025, as that was the date that the Company obtained control over the facility. The Emeryville Lease has an initial term of six years, ending in February 2031. The Emeryville Lease includes escalating rent payments and includes an option to extend the lease term for an additional five years. The Company is not reasonably certain to exercise the option to extend the lease term. The Company recognizes rent expense on a straight-line basis over the lease term. The Emeryville Lease does not provide a bargain purchase option nor does it transfer ownership at any point during the lease to the Company and is classified as an operating lease.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Emeryville Lease remaining lease term was 4.7 years and the discount rate used to determine the operating lease liability was 11.6%.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lease expense was $0.2 million and $0.4 million for the three months ended June 30, 2026 and 2025, respectively, and $0.4 million and $0.6 million for the six months ended June 30, 2026 and 2025, respectively. Cash paid for amounts included in the measurement of operating lease liabilities was $0.2 million and $0.4 million for the six months ended June 30, 2026 and 2025, respectively, and was included in net cash used in operating activities in the Company’s condensed consolidated statement of cash flows. Variable lease payments related to operating leases were $0.3 million and less than $0.1 million for the six months ended June 30,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maturities of lease liabilities were as follows:</w:t>
      </w:r>
    </w:p>
    <w:p>
      <w:pPr>
        <w:pStyle w:val="TextBody"/>
        <w:bidi w:val="0"/>
        <w:jc w:val="left"/>
        <w:rPr/>
      </w:pPr>
      <w:r>
        <w:rPr/>
        <w:t> </w:t>
      </w:r>
    </w:p>
    <w:tbl>
      <w:tblPr>
        <w:tblW w:w="5705" w:type="dxa"/>
        <w:jc w:val="left"/>
        <w:tblInd w:w="0" w:type="dxa"/>
        <w:tblLayout w:type="fixed"/>
        <w:tblCellMar>
          <w:top w:w="28" w:type="dxa"/>
          <w:left w:w="28" w:type="dxa"/>
          <w:bottom w:w="28" w:type="dxa"/>
          <w:right w:w="28" w:type="dxa"/>
        </w:tblCellMar>
      </w:tblPr>
      <w:tblGrid>
        <w:gridCol w:w="4486"/>
        <w:gridCol w:w="146"/>
        <w:gridCol w:w="211"/>
        <w:gridCol w:w="571"/>
        <w:gridCol w:w="2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(excluding the 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Note 8. Collaboration Agreements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Novartis Pharma AG Collaboration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16, 2024, the Company entered into a collaboration agreement with Novartis Pharma AG ("Novartis") to identify and validate novel therapeutic drug targets by investigating the biological mechanisms that drive diseases related to aging and mediate the beneficial effects of physical exercise (the "Novartis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Novartis Agreement, the Company is obligated to perform additional analyses on the Company's longitudinal human aging cohort datasets, to expand data included in the Company's discovery platform, and perform other activities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enable the identification and validation of novel therapeutic drug targets. The Company has determined these activities represent a single performance obligation.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consideration for the rights granted under the Novartis Agreement, the Company has received and may receive upfront payments and research funding of up to $20.0 million, and up to $530.0 million in future long-term research, development, and commercial milestones. The Company and Novartis each have the right to advance novel targets discovered under the Novartis Agreement and are each eligible to receive reciprocal success milestones and receive tiered royalties on net sales of licensed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Collaboration revenue of $2.4 million was recognized under the Novartis Agreement for each of the three months ended June 30, 2026 and 2025, and $5.2 million and $3.9 million in the six months ended June 30, 2026 and 2025, respectively. During the six months ended June 30, 2026, the Company recorded $1.4 million in revenue that was included in deferred revenue as of December 31, 2025 and $3.8 million in revenue related to research funding for reimbursable costs incurred during the six months ended June 30, 2026. Deferred revenue related to the Novartis Agreement amounted to $4.4 million and $5.8 million as of June 30, 2026, and December 31, 2025, respectively, all of which was included in current liabilities within the condensed consolidated balance sheets.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estimates an annual effective tax rate of 0% for the year ending December 31, 2026. The Company incurred losses for the three and six months ended June 30, 2026 and expects to continue to incur losses through the remainder of the year ending December 31, 2026, resulting in an estimated net loss for both financial statement and tax purposes. Therefore, no federal, state or foreign income taxes are expected and none have been recorded for the six months ended June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the Company had no unrecognized tax benefits that would reduce the Company’s effective tax rate if recognized.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Net Loss Per Share Attributable to Common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attributable to common stockholders (in thousands except for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used to compute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44,838,893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35,850,037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43,666,204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35,850,037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potentially dilutive securities have been excluded from the computation of diluted net loss per share attributable to common stockholders as the effect would be antidilutive. Therefore, the weighted-average number of shares of common stock outstanding used to calculate both basic and diluted net loss per share attributable to common stockholders is the same. Potentially dilutive securities that were not included in the diluted per share calculations because they would be anti-dilutive were as follows:</w:t>
      </w:r>
    </w:p>
    <w:p>
      <w:pPr>
        <w:pStyle w:val="TextBody"/>
        <w:bidi w:val="0"/>
        <w:jc w:val="left"/>
        <w:rPr/>
      </w:pPr>
      <w:r>
        <w:rPr/>
        <w:t> </w:t>
      </w:r>
    </w:p>
    <w:tbl>
      <w:tblPr>
        <w:tblW w:w="5994" w:type="dxa"/>
        <w:jc w:val="left"/>
        <w:tblInd w:w="0" w:type="dxa"/>
        <w:tblLayout w:type="fixed"/>
        <w:tblCellMar>
          <w:top w:w="28" w:type="dxa"/>
          <w:left w:w="28" w:type="dxa"/>
          <w:bottom w:w="28" w:type="dxa"/>
          <w:right w:w="28" w:type="dxa"/>
        </w:tblCellMar>
      </w:tblPr>
      <w:tblGrid>
        <w:gridCol w:w="3211"/>
        <w:gridCol w:w="146"/>
        <w:gridCol w:w="146"/>
        <w:gridCol w:w="931"/>
        <w:gridCol w:w="146"/>
        <w:gridCol w:w="146"/>
        <w:gridCol w:w="146"/>
        <w:gridCol w:w="93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8,047,827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9,185,612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8,079,517</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11. Employee Benefit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maintains a defined contribution 401(k) plan, under which employee contributions are voluntary and are determined on an individual basis, limited by the maximum amounts allowable under federal tax regulations. The Company provides an automatic matching contribution of employee contributions into the plan up to a maximum of 4% of employee deferral. The Company’s matching contributions to employees were $0.1 million and $0.2 million for the three months ended June 30, 2026 and 2025, respectively, and $0.3 million and $0.4 million for the six months ended June 30, 2026 and 2025, respectively.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12. Segment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one reportable segment, which is the business of extending healthy human life by targeting molecular causes of aging.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CODM is its chief executive officer. When evaluating the Company's financial performance, the CODM reviews total operating expenses and expense by function to make decisions on a company-wide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single reportable segment entity, the determined measure of profit or loss is the Company’s consolidated net income (loss). Consolidated asset information for the Company’s single reportable segment is presented in the Company’s condensed consolidated balance sheets.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is a summary of the segment net loss, including significant segment expenses:</w:t>
      </w:r>
    </w:p>
    <w:p>
      <w:pPr>
        <w:pStyle w:val="TextBody"/>
        <w:bidi w:val="0"/>
        <w:jc w:val="both"/>
        <w:rPr/>
      </w:pPr>
      <w:r>
        <w:rPr/>
        <w:t> </w:t>
      </w:r>
    </w:p>
    <w:tbl>
      <w:tblPr>
        <w:tblW w:w="9052" w:type="dxa"/>
        <w:jc w:val="left"/>
        <w:tblInd w:w="0" w:type="dxa"/>
        <w:tblLayout w:type="fixed"/>
        <w:tblCellMar>
          <w:top w:w="28" w:type="dxa"/>
          <w:left w:w="28" w:type="dxa"/>
          <w:bottom w:w="28" w:type="dxa"/>
          <w:right w:w="28" w:type="dxa"/>
        </w:tblCellMar>
      </w:tblPr>
      <w:tblGrid>
        <w:gridCol w:w="3791"/>
        <w:gridCol w:w="146"/>
        <w:gridCol w:w="211"/>
        <w:gridCol w:w="736"/>
        <w:gridCol w:w="166"/>
        <w:gridCol w:w="146"/>
        <w:gridCol w:w="211"/>
        <w:gridCol w:w="736"/>
        <w:gridCol w:w="166"/>
        <w:gridCol w:w="146"/>
        <w:gridCol w:w="211"/>
        <w:gridCol w:w="736"/>
        <w:gridCol w:w="166"/>
        <w:gridCol w:w="146"/>
        <w:gridCol w:w="211"/>
        <w:gridCol w:w="736"/>
        <w:gridCol w:w="391"/>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program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and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and 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unaudited condensed consolidated financial statements and the related notes and other financial information included elsewhere in this Quarterly Report and with our audited financial statements and the notes thereto for the year ended December 31, 2025 included in our Annual Report on Form 10-K filed with the Securities and Exchange Commission on March 24, 2026. This discussion and analysis and other parts of this Quarterly Report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Quarterly Report.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clinical-stage biopharmaceutical company developing therapeutic product candidates for cardiometabolic diseases by targeting the biology of human aging. Our technology platform and differentiated human datasets enable us to identify promising targets based on insights into molecular changes that drive aging.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lead program, BGE-102, is a potent, orally bioavailable, brain-penetrant small-molecule NLRP3 inhibitor being developed for diseases driven by inflammation including retinal diseases such as diabetic macular edema (DME). BGE-102 has a distinct mechanism and binding site from other NLRP3 inhibitors in development with issued patents covering both composition of matter and claims for the unique binding site. We are actively evaluating additional indications where NLRP3 inhibition may deliver meaningful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2026, we reported results from the full Phase 1 Single Ascending Dose (SAD) / Multiple Ascending Dose (MAD) clinical trial of BGE-102, including two cohorts of participants with obesity and elevated inflammatory markers such as high-sensitivity C-reactive protein (hsCRP) (60 mg dosed once daily for 21 days and 120 mg dosed for 14 days), demonstrating potential best-in-class reductions in hsCRP and consistent reductions across multiple inflammatory biomarkers with a favorable tolerability profile. BGE-102 was well tolerated across all dose levels evaluated; all treatment-emergent adverse events were mild to moderate and self-limited, with no dose dependency, no serious adverse events, no discontinuations due to adverse events, and no clinically meaningful changes in vital signs, electrocardiograms, or laboratory values. BGE-102 demonstrated rapid, profound, and sustained hsCRP reductions at both evaluated dose levels in participants with obesity and elevated baseline hsCRP. At 60 mg once daily for 21 days, BGE-102 achieved an 86% median reduction in hsCRP at Day 21, with 87% of participants on active treatment (13/15) achieving hsCRP below 2 mg/L and 60% (9/15) reaching hsCRP at or below 1 mg/L. At 120 mg once daily for 14 days, BGE-102 demonstrated an 86% median reduction in hsCRP at Day 14, with 93% of participants on active treatment (13/14) achieving hsCRP levels below 2 mg/L and 71% (10/14) reaching hsCRP at or below 1 mg/L. BGE-102 also produced consistent reductions in IL-6 (55–78% at 60 mg and 58–69% at 120 mg), fibrinogen (19–23% at 60 mg and 24–30% at 120 mg), and achieved up to 98% suppression of IL-1β at trough in an ex vivo whole-blood assay.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2026, we dosed the first participant in QUELL-CV, a randomized, double-blind, placebo-controlled, Phase 2 dose-ranging proof-of-concept trial evaluating BGE-102, measuring inflammatory and cardiometabolic biomarkers. QUELL-CV is enrolling approximately 160 adults with obesity and baseline inflammation at elevated cardiovascular risk (hsCRP &gt;3 mg/L), randomized to placebo or BGE-102 at 30 mg, 60 mg, or 90 mg administered orally once daily (~40 participants per arm) for 12 weeks. The primary endpoint is percent change from baseline in hsCRP, a pharmacodynamic measure of NLRP3 pathway inhibition, and the trial is designed to characterize the dose-response relationship for BGE-102 and to support dose selection for further development. We anticipate reporting topline data from QUELL-CV in the second half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DME is our first proof-of-concept indication for BGE-102 in ophthalmology. DME affects approximately 1 million patients in the United States, and current intravitreal therapies face significant unmet need due to high injection burden and a substantial refractory population — approximately 45% of patients demonstrate refractoriness to anti-vascular endothelial growth factor (VEGF) therapy. In a preclinical model of DME, oral BGE-102 demonstrated dose-dependent preservation of retinal vascular integrity, achieving near-complete protection from vascular leakage and up to 90% preservation of microvascular integrity. We plan to initiate QUELL-DME, a Phase 1b/2a proof-of-concept trial of BGE-102 in DME in mid-2026 with results anticipated in mid-2027. The goal is to demonstrate ocular target engagement, potentially supporting future development across inflammation-driven retinal diseases.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Beyond NLRP3 inhibition, we are also developing novel apelin receptor APJ agonists for obesity, including long-acting injectable and oral small-molecule APJ agonist programs. In preclinical obesity models, APJ agonism has demonstrated the ability to more than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double the weight loss induced by a glucagon-like peptide-1 receptor (GLP-1R) agonist while also restoring healthy body composition and improving muscle function. In June 2025, we announced an option agreement with JiKang Therapeutics for a novel APJ agonist antibody, as well as the filing of a U.S. provisional patent for novel small-molecule APJ agonists. We intend to file the first Investigational New Drug application (IND) for an APJ program by year-end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advancing earlier stage platform-derived programs in collaboration with Eli Lilly and Company (Lilly), and have an ongoing target discovery collaboration with Novartis Pharma AG (Novartis).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portfolio of product candidates and ongoing collaborations are summarized in the figure below:</w:t>
      </w:r>
    </w:p>
    <w:p>
      <w:pPr>
        <w:pStyle w:val="TextBody"/>
        <w:bidi w:val="0"/>
        <w:spacing w:before="240" w:after="283"/>
        <w:jc w:val="left"/>
        <w:rPr/>
      </w:pPr>
      <w:r>
        <w:rPr/>
        <w:drawing>
          <wp:inline distT="0" distB="0" distL="0" distR="0">
            <wp:extent cx="6858000" cy="2790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790825"/>
                    </a:xfrm>
                    <a:prstGeom prst="rect">
                      <a:avLst/>
                    </a:prstGeom>
                  </pic:spPr>
                </pic:pic>
              </a:graphicData>
            </a:graphic>
          </wp:inline>
        </w:drawing>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our inception in 2015, we have devoted substantially all of our efforts to organizing and staffing our company, business planning, raising capital, establishing our intellectual property portfolio, acquiring or discovering product candidates, research and development activities for our product candidates, establishing arrangements with third parties for the manufacture of our product candidates and component materials, and providing general and administrative support for these operations. We do not have any products approved for sale and have not generated any revenue from product sales. Our primary uses of capital are, and we expect will continue to be, research and development services, compensation and related expenses and general overhead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significant operating losses and negative cash flows since inception. Our ability to generate product revenue sufficient to achieve profitability will depend heavily on the successful development and eventual commercialization of any future product candidates. Our net losses were $48.4 million and $34.5 million for the six months ended June 30, 2026 and 2025, respectively. As of June 30, 2026, we had an accumulated deficit of $381.8 million. We expect to continue to incur net operating losses for the foreseeable future, and we expect our research and development expenses, general and administrative expenses, and capital expenditures will increase substantially in connection with our ongoing activities, particularly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progress the development of our lead product candidate, BGE-102;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explore additional indications for our existing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discover and develop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expand, maintain, defend and enforce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manufacture, or have manufactured, preclinical, clinical and potentially commercial supplies of BGE-102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approvals for BGE-102 or for any future product candidates that successfully complete clinical trials,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sales, marketing and distribution infrastructure to commercialize BGE-102 or any future product candidates,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to identify, evaluate and establish licenses, collaborations or other strategic partnerships;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hire additional clinical, scientific and management personnel, as well as administrative staff to support the growth of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 operational, financial and management information systems and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net losses may fluctuate significantly from period to period, depending on the timing of the factors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not generate revenue from product sales unless and until we successfully complete clinical development and obtain regulatory approval for BGE-102 or a future product candidate. In addition, if we obtain regulatory approval for BGE-102 or a future product candidate and do not enter into a third-party commercialization partnership, we expect to incur significant expenses related to developing our commercialization capability to support product sales, marketing, manufacturing and distribution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we will need substantial additional funding to support our continuing operations and pursue our growth strategy. Until such time, if ever, as we can generate substantial product revenues, we expect to finance our cash needs through equity offerings, debt financings or other capital sources, which could include licenses, collaborations, or other strategic partnerships. Adequate additional funds may not be available to us on acceptable terms, or at all. To the extent that we raise additional capital through the sale of equity or convertible debt securities, the ownership interests of our existing stockholders may be diluted, and the terms of these securities may include liquidation or other preferences that could adversely affect the rights of such stockholders. Debt financing, if available, may involve agreements that include restrictive covenants that limit our ability to take specific actions, such as incurring additional debt, making capital expenditures or declaring dividends, which could adversely impact our ability to conduct our business. If we raise additional funds through licenses, collaborations, or other strategic partnerships with third parties, we may have to relinquish valuable rights to our technologies, future revenue streams, research program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There is no assurance that we will ever be profitable or generate positive cash flow from operating activities. Our ability to raise additional funds may also be adversely impacted by potential worsening global macroeconomic, industry and market conditions in either domestic or international markets, as well as economic conditions specifically affecting industries in which we operate, including but not limited to, actual or perceived instability in the banking industry, potential uncertainty with respect to the U.S. federal debt ceiling and budget and any future government shutdowns related thereto, labor shortages, supply chain disruptions, potential recession, inflation and changing interest rates, significant trade or regulatory developments, including tariffs or shifting priorities within the U.S. Food and Drug Administration, and political instability and military hostilities in multiple geographies, such as the conflicts in Ukraine, Venezuela, Iran, tensions between China and Taiwan and the possibility of a wider Middle Eastern, European or global conflict.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development of product candidates,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oversee and manage third party Contract Development and Manufacturing Organizations (CDMOs) to support development and manufacture of our future product candidates. We expect to enter into commercial supply agreements with commercial manufacturers prior to any potential regulatory approval of any future product candidates. We believe our current manufacturers are able to supply the upcoming preclinical and clinical trials of future product candidates. Additional CDMOs may be on-boarded at later stages of clinical and commercial development for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$381.3 million in cash, cash equivalents, and marketable securities. Based on our current operating plan, we estimate that our existing cash, cash equivalents, and marketable securities as of the filing date of this Quarterly Report will be sufficient to fund our operations and capital expenses through 2029. However, we have based this estimate on assumptions that may prove to be wrong, and we could exhaust our available capital resources sooner than we expect. See the section titled "Liquidity and Capital Resources" included elsewhere in this Quarterly Report.</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Collaboration Agreement with Novartis Pharma AG</w:t>
      </w:r>
    </w:p>
    <w:p>
      <w:pPr>
        <w:pStyle w:val="TextBody"/>
        <w:bidi w:val="0"/>
        <w:jc w:val="both"/>
        <w:rPr>
          <w:rFonts w:ascii="Times New Roman" w:hAnsi="Times New Roman"/>
          <w:color w:val="000000"/>
          <w:sz w:val="20"/>
        </w:rPr>
      </w:pPr>
      <w:r>
        <w:rPr>
          <w:rFonts w:ascii="Times New Roman" w:hAnsi="Times New Roman"/>
          <w:color w:val="000000"/>
          <w:sz w:val="20"/>
        </w:rPr>
        <w:t>On December 16, 2024, we entered into a collaboration agreement with Novartis to identify and validate novel therapeutic drug targets by investigating the biological mechanisms that drive diseases related to aging and mediate the beneficial effects of physical exercise (the "Novartis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Novartis Agreement, we are obligated to perform additional analyses on our longitudinal human aging cohort datasets, to expand data included in our discovery platform, and perform other activities to enable the identification and validation of novel therapeutic drug targets.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consideration for the rights granted under the Novartis Agreement, we have received and may receive upfront payments and research funding of up to $20.0 million, and up to $530.0 million in future long-term research, development, and commercial milestones. We and Novartis each have the right to advance novel targets discovered under the Novartis Agreement and are each eligible to receive reciprocal success milestones and receive tiered royalties on net sales of licensed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Collaboration revenue of $5.2 million and $3.9 million was recognized under the Novartis Agreement in the six months ended June 30, 2026 and 2025, respectively. During the six months ended June 30, 2026, we recorded $1.4 million in revenue that was included in deferred revenue as of December 31, 2025 and $3.8 million in revenue related to research funding for reimbursable costs incurred during the six months ended June 30, 2026. Deferred revenue related to the Novartis Agreement amounted to $4.4 million and $5.8 million as of June 30, 2026, and December 31, 2025, respectively, all of which was included in current liabilities within the condensed consolidated balance sheets.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not generated any product revenue since our inception and do not expect to generate any revenue from the sale of products in the near future, if at all. If our development efforts for BGE-102 or other product candidates that we may develop in the future are successful and result in marketing approval, we may generate revenue from product sales.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recognized, and expect to recognize, collaboration revenue in the future from the Novartis Agreement, which may include amounts related to upfront payments, milestone payments, and research and development funding.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operating expenses consist of (i) research and development expenses and (ii) general and administrative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account for a significant portion of our operating expenses and consist primarily of costs incurred in connection with the discovery, preclinical development, clinical development and manufacturing of our lead product candidate, BGE-102, and other potential future product candidates, and include: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 Costs: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expenses incurred under agreements with CROs that are primarily engaged in the oversight and conduct of our clinical trials; CDMOs that are primarily engaged to provide drug substance and product for our clinical trials and preclinical studies, research and development programs, as well as investigative sites and consultants that conduct our clinical trials, preclinical studies and other scientific development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acquiring and manufacturing preclinical and clinical trial materials, including manufacturing registration and validation batches;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of outside consultants, including their fees and related travel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compliance with quality and regulatory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payments made under third-party licensing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Indirect Costs: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personnel-related expenses including, salaries, bonuses, benefits, stock-based compensation expenses and other related costs for individuals involved in research and development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allocated facilities and other expenses not directly tied to a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expense research and development costs as incurred. We recognize direct development costs based on an evaluation of the progress to completion of specific tasks using information provided to us by our vendors or our estimate of the level of service that has been performed at each reporting date. Payments for these development activities are based on the terms of the individual agreements, which may differ from the pattern of costs incurred, and are reflected in our financial statements as prepaid expenses or accrued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significant portion of our research and development costs to date have been third-party direct costs, which we disclose on an individual product candidate basis after the completion of IND-enabling activities for that product candidate. However, our indirect costs are not directly tied to any one program and are deployed across our programs. As such, we do not track these costs on a specific program basis. We utilize third party contractors for our research and development activities and CDMOs for our manufacturing activities and we do not have our own manufacturing facilities.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activities are central to our business model. We expect that our research and development expenses will continue to increase substantially for the foreseeable future as we progress BGE-102 into additional clinical trials, continue to discover and develop additional product candidates, expand our headcount and costs related to our existing and potential future intellectual property licenses. Later stages of clinical development generally have higher development costs than those in earlier stages, primarily due to the increased size and duration of later-stage clinical trials. There are numerous factors associated with the successful development and commercialization of any product candidates we may develop in the future,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 and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research and development expenses may vary significantly in the future based on factors,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of preclinical and IND-enabling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trials required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sites included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length of time required to enroll eligible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that participate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drop-out or discontinuation rates of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additional safety monitoring requested by regulatory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duration of patient participation in the trials and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manufacturing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phase of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and safety profile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establish additional collaboration or license agreements;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choose to partner any of our product candidates and the terms of such partnership.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the outcome of any of these variables with respect to the development of our lead product candidate, BGE-102, or any future product candidates in preclinical and clinical development could mean a significant change in the costs and timing associated with the development of these product candidates. For example, if the FDA, European Medicines Agency or another regulatory authority were to delay our planned start of clinical trials or require us to conduct clinical trials or other testing beyond those that we currently expect, or if we experience significant delays in enrollment in any clinical trials following the applicable regulatory authority’s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acceptance and clearance, we could be required to expend significant additional financial resources and time to complete clinical development than we currently expect. We may never obtain regulatory approval for any product candidates that we develop.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successful development of BGE-102 or any other product candidates we may develop in the future is highly uncertain. Therefore, we cannot reasonably estimate or know the nature, timing and estimated costs of the efforts that will be necessary to complete the development and commercialization of BGE-102, our APJ programs or any future product candidates we may develop. We are also unable to predict when, if ever, material net cash inflows will commence from the sale of BGE-102 or any future product candidate, if approved. This is due to the numerous risks and uncertainties associated with product development.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personnel-related expenses, including salaries, bonuses, benefits, and stock-based compensation expenses for individuals in executive, finance, corporate, business development, and administrative functions. Other significant general and administrative expenses include legal fees relating to patent, intellectual property and corporate matters, and fees paid for accounting, consulting and other professional services, allocated expenses for rent, insurance and other operating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general and administrative expenses will continue to increase in the foreseeable future as our business expands to support our continued research and development activities, including any future clinical trials. These increases will likely include increased costs related to the hiring of additional personnel and fees to outside consultants, among other expenses. We also anticipate increased expenses associated with being a public company, including costs for audit, legal, regulatory and tax-related services related to compliance with the rules and regulations of the SEC, listing standards applicable to companies listed on a national securities exchange, director and officer insurance premiums and investor relations costs. In addition, if we obtain regulatory approval for any product candidates we may develop in the future and do not enter into a third-party commercialization collaboration, we expect to incur significant expenses related to building a sales and marketing team to support product sales, marketing and distribution activities.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consists of interest incurred on our term loan.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and Other Income (Expense),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and other income (expense), net primarily consist of interest income generated from interest bearing cash, cash equivalents, and marketable securities.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Gain (Loss) from Changes in Fair Value of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Gain (loss) on changes in fair value of warrants consists of assessed changes in fair value of warrants to purchase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we have not recorded any income tax benefits for the net losses we have incurred in each period or for our research and development tax credits, as we believe, based upon the weight of available evidence, that it is more likely than not that all of our net operating loss carryforwards and tax credits will not be realized. As of December 31, 2025, we had U.S. federal and state net operating loss carryforwards of $204.1 million and $15.9 million, respectively, which expire at various dates beginning in 2035. These attributes may be subject to Section 382 limitation and we have not performed a formal assessment. As of June 30, 2026 and December 31, 2025, we have recorded a full valuation allowance against our deferred tax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results of operations for each of the periods presented (in thousands, except percentages):</w:t>
      </w:r>
    </w:p>
    <w:p>
      <w:pPr>
        <w:pStyle w:val="TextBody"/>
        <w:bidi w:val="0"/>
        <w:jc w:val="left"/>
        <w:rPr/>
      </w:pPr>
      <w:r>
        <w:rPr/>
        <w:t> </w:t>
      </w:r>
    </w:p>
    <w:tbl>
      <w:tblPr>
        <w:tblW w:w="9055" w:type="dxa"/>
        <w:jc w:val="left"/>
        <w:tblInd w:w="0" w:type="dxa"/>
        <w:tblLayout w:type="fixed"/>
        <w:tblCellMar>
          <w:top w:w="28" w:type="dxa"/>
          <w:left w:w="28" w:type="dxa"/>
          <w:bottom w:w="28" w:type="dxa"/>
          <w:right w:w="28" w:type="dxa"/>
        </w:tblCellMar>
      </w:tblPr>
      <w:tblGrid>
        <w:gridCol w:w="3671"/>
        <w:gridCol w:w="146"/>
        <w:gridCol w:w="211"/>
        <w:gridCol w:w="736"/>
        <w:gridCol w:w="166"/>
        <w:gridCol w:w="146"/>
        <w:gridCol w:w="211"/>
        <w:gridCol w:w="736"/>
        <w:gridCol w:w="166"/>
        <w:gridCol w:w="146"/>
        <w:gridCol w:w="225"/>
        <w:gridCol w:w="676"/>
        <w:gridCol w:w="166"/>
        <w:gridCol w:w="146"/>
        <w:gridCol w:w="201"/>
        <w:gridCol w:w="790"/>
        <w:gridCol w:w="516"/>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from changes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Collaboration revenue was $2.4 million for each of the three months ended June 30, 2026 and 2025.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each of the periods presented (in thousands, except percentages):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35"/>
        <w:gridCol w:w="146"/>
        <w:gridCol w:w="211"/>
        <w:gridCol w:w="676"/>
        <w:gridCol w:w="146"/>
        <w:gridCol w:w="146"/>
        <w:gridCol w:w="211"/>
        <w:gridCol w:w="676"/>
        <w:gridCol w:w="146"/>
        <w:gridCol w:w="146"/>
        <w:gridCol w:w="225"/>
        <w:gridCol w:w="676"/>
        <w:gridCol w:w="166"/>
        <w:gridCol w:w="146"/>
        <w:gridCol w:w="230"/>
        <w:gridCol w:w="761"/>
        <w:gridCol w:w="462"/>
      </w:tblGrid>
      <w:tr>
        <w:trPr/>
        <w:tc>
          <w:tcPr>
            <w:tcW w:w="5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BGE-102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4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azelaprag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 (including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Allocated facility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Research and development expenses increased by $4.6 million from $19.8 million for the three months ended June 30, 2025 to $24.4 million for the three months ended June 30, 2026. The increase was primarily attributable to a $7.9 million increase in direct costs related to our BGE-102 program associated with initiation of QUELL-CV, a Phase 2 dose-ranging proof-of-concept trial evaluating BGE-102 in participants with obesity and baseline inflammation at elevated cardiovascular risk, start-up costs related to the planned initiation of QUELL-DME, a Phase 1b/2a proof-of-concept trial of BGE-102 in DME, licensing fees, and drug-product manufacturing.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was further driven by a $1.5 million increase in personnel-related expenses, primarily reflecting higher stock-based compensation expense associated with new option grants to employees, and a $0.3 million increase in allocated facility and other expenses primarily driven by higher non-program specific consulting fees.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increases were partially offset by a $3.3 million decrease in direct costs for other programs driven by lower licensing costs and a $1.9 million decrease in azelaprag direct costs following termination of its development in January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increased by $0.1 million from $7.3 million for the three months ended June 30, 2025 to $7.4 million for the three months ended June 30, 2026. The increase was primarily driven by a $0.6 million increase in personnel-related expenses, primarily reflecting higher stock-based compensation expense associated with new option grants to employees, executives, board members and advisors, and a $0.1 million increase in corporate insurance expense. These increases were partially offset by a $0.6 million decrease in legal fees.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net was $3.2 million for each of the three months ended June 30, 2026 and 2025. Interest expense decreased by $0.2 million resulting from the repayment of our term loan on April 1, 2026, offset by a $0.2 million increase in the loss from changes in the fair value of our warrants resulting from the increase in our stock price during the three months ended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results of operations for each of the periods presented (in thousands, except percentages):</w:t>
      </w:r>
    </w:p>
    <w:p>
      <w:pPr>
        <w:pStyle w:val="TextBody"/>
        <w:bidi w:val="0"/>
        <w:jc w:val="left"/>
        <w:rPr/>
      </w:pPr>
      <w:r>
        <w:rPr/>
        <w:t> </w:t>
      </w:r>
    </w:p>
    <w:tbl>
      <w:tblPr>
        <w:tblW w:w="9656" w:type="dxa"/>
        <w:jc w:val="left"/>
        <w:tblInd w:w="0" w:type="dxa"/>
        <w:tblLayout w:type="fixed"/>
        <w:tblCellMar>
          <w:top w:w="28" w:type="dxa"/>
          <w:left w:w="28" w:type="dxa"/>
          <w:bottom w:w="28" w:type="dxa"/>
          <w:right w:w="28" w:type="dxa"/>
        </w:tblCellMar>
      </w:tblPr>
      <w:tblGrid>
        <w:gridCol w:w="4166"/>
        <w:gridCol w:w="146"/>
        <w:gridCol w:w="211"/>
        <w:gridCol w:w="736"/>
        <w:gridCol w:w="166"/>
        <w:gridCol w:w="146"/>
        <w:gridCol w:w="211"/>
        <w:gridCol w:w="736"/>
        <w:gridCol w:w="166"/>
        <w:gridCol w:w="146"/>
        <w:gridCol w:w="211"/>
        <w:gridCol w:w="736"/>
        <w:gridCol w:w="166"/>
        <w:gridCol w:w="146"/>
        <w:gridCol w:w="230"/>
        <w:gridCol w:w="761"/>
        <w:gridCol w:w="576"/>
      </w:tblGrid>
      <w:tr>
        <w:trPr/>
        <w:tc>
          <w:tcPr>
            <w:tcW w:w="4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from changes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Collaboration revenue for the six months ended June 30, 2026 was $5.2 million, compared to $3.9 million for the six months ended June 30, 2025. The $1.3 million increase was due to increased full-time equivalent employee effort under the Novartis Agreement, resulting in higher revenue recognized based on progress toward satisfaction of the related performance obligation.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each of the periods presented (in thousands, except percentages):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35"/>
        <w:gridCol w:w="146"/>
        <w:gridCol w:w="211"/>
        <w:gridCol w:w="676"/>
        <w:gridCol w:w="146"/>
        <w:gridCol w:w="146"/>
        <w:gridCol w:w="211"/>
        <w:gridCol w:w="676"/>
        <w:gridCol w:w="146"/>
        <w:gridCol w:w="146"/>
        <w:gridCol w:w="214"/>
        <w:gridCol w:w="687"/>
        <w:gridCol w:w="166"/>
        <w:gridCol w:w="146"/>
        <w:gridCol w:w="255"/>
        <w:gridCol w:w="736"/>
        <w:gridCol w:w="462"/>
      </w:tblGrid>
      <w:tr>
        <w:trPr/>
        <w:tc>
          <w:tcPr>
            <w:tcW w:w="5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BGE-102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4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azelaprag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 (including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Allocated facility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Research and development expenses increased by $13.8 million from $31.0 million for the six months ended June 30, 2025 to $44.8 million for the six months ended June 30, 2026. The increase was primarily attributable to a $13.6 million increase in direct costs related to our BGE-102 program associated with the completion of our Phase 1 SAD / MAD clinical trial, initiation of QUELL-CV, a Phase 2 dose-ranging proof-of-concept trial evaluating BGE-102 in participants with obesity and baseline inflammation at elevated cardiovascular risk, start-up costs related to the planned initiation of QUELL-DME, a Phase 1b/2a proof-of-concept trial of BGE-102 in DME, licensing fees, and drug-product manufacturing.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was further driven by a $1.5 million increase in personnel-related expenses, primarily reflecting higher stock-based compensation expense associated with new option grants to employees, and a $1.1 million increase in allocated facility and other expenses primarily driven by higher non-program specific consulting fees. Additionally contributing to the increase was a $0.3 million increase in direct costs for other programs, which was primarily related to discovery and development activities related to our novel apelin receptor APJ agonist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increases were partially offset by a $2.7 million decrease in azelaprag direct costs following termination of its development in January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increased by $1.1 million from $14.1 million for the six months ended June 30, 2025 to $15.2 million for the six months ended June 30, 2026. The increase was primarily driven by a $1.2 million increase in personnel-related expenses, largely due to an increase in stock-based compensation expense associated with new option grants issued to employees, executives, board members and advisors and a $0.1 million increase in corporate insurance expense. These increases were partially offset by a $0.2 million decrease in legal fees.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net decreased by approximately $0.4 million from $6.7 million for the six months ended June 30, 2025 to $6.3 million for the six months ended June 30, 2026. This decrease in other income, net was primarily attributable to a $0.4 million decrease in interest income driven by lower interest rates during the period, resulting in reduced yields on cash, cash equivalents, and marketable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Partially offsetting this decrease, interest expense decreased by $0.4 million resulting from the repayment of our term loan on April 1, 2026, offset by a $0.4 million increase in the loss from changes in the fair value of our warrants resulting from the increase in our stock price during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our inception, we have incurred significant losses in each period and on an aggregate basis. We have not yet commercialized any product candidates, and we do not expect to generate revenue from sales of any product candidates for the foreseeable future, if at all. As of June 30, 2026, we had $381.3 million in cash, cash equivalents, and marketable securities and we had an accumulated deficit of $381.8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October 2025, we filed a shelf registration statement on Form S-3 (the Shelf Registration Statement) which became effective through the operation of law in November 2025. The Shelf Registration Statement permits the offering of up to $250.0 million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one or more offerings and in any combination. In connection with the Shelf Registration Statement, we entered into a Sales Agreement (the Sales Agreement) with Leerink Partners LLC (Leerink) relating to the applicable terms of at-the-market equity offerings (the ATM Facility) pursuant to which we may, but are not obligated to, offer and sell, from time to time, shares of our common stock with an aggregate offering price up to $75.0 million through Leerink, as sales agent in the ATM Facility.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have sold an aggregate of 2,400,000 shares of our common stock through our ATM Facility pursuant to the Sales Agreement. The gross proceeds from these sales were approximately $33.9 million, before deducting sales agent commission and offering costs of approximately $1.2 million, resulting in net proceeds of approximately $32.7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2026, we completed an underwritten public offering of our common stock, issuing 5,897,435 shares at a public offering price of $19.50 per share for net proceeds of $107.4 million, after underwriting discounts and commissions and offering costs (the January 2026 Public Offering). The January 2026 Public Offering included a 30-day option for the underwriters to purchase up to 884,615 additional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2026, we issued 884,615 shares of our common stock upon exercise of the underwriters’ option in the January 2026 Public Offering, resulting in net proceeds of $16.2 million, net of underwriting discounts and commissions.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information regarding our cash flows for each of the periods presented (in thousands):</w:t>
      </w:r>
    </w:p>
    <w:p>
      <w:pPr>
        <w:pStyle w:val="TextBody"/>
        <w:bidi w:val="0"/>
        <w:jc w:val="left"/>
        <w:rPr/>
      </w:pPr>
      <w:r>
        <w:rPr/>
        <w:t> </w:t>
      </w:r>
    </w:p>
    <w:tbl>
      <w:tblPr>
        <w:tblW w:w="7859" w:type="dxa"/>
        <w:jc w:val="left"/>
        <w:tblInd w:w="0" w:type="dxa"/>
        <w:tblLayout w:type="fixed"/>
        <w:tblCellMar>
          <w:top w:w="28" w:type="dxa"/>
          <w:left w:w="28" w:type="dxa"/>
          <w:bottom w:w="28" w:type="dxa"/>
          <w:right w:w="28" w:type="dxa"/>
        </w:tblCellMar>
      </w:tblPr>
      <w:tblGrid>
        <w:gridCol w:w="5086"/>
        <w:gridCol w:w="146"/>
        <w:gridCol w:w="211"/>
        <w:gridCol w:w="841"/>
        <w:gridCol w:w="166"/>
        <w:gridCol w:w="146"/>
        <w:gridCol w:w="211"/>
        <w:gridCol w:w="841"/>
        <w:gridCol w:w="2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Cash Used in 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operating activities during the six months ended June 30, 2026 was $43.3 million, and was primarily due to our net loss of $48.4 million and a $3.2 million change in operating assets and liabilities. These changes were partially offset by non-cash adjustments of $8.2 million, primarily consisting of $8.5 million of stock-based compensation expense, partially offset by accretion of investment discounts.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operating activities during the six months ended June 30, 2025 was $37.3 million, and was primarily due to our net loss of $34.5 million and a $9.3 million change in operating assets and liabilities. These changes were partially offset by non-cash adjustments of $6.5 million, of which $6.2 million related to stock-based compensation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Cash Used in 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investing activities was $211.3 million during the six months ended June 30, 2026 and included cash outflows of $284.0 million related to the purchase of marketable securities, as well as $0.4 million related to the purchase of property and equipment, partially offset by $73.1 million in cash proceeds from the maturities of marketable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investing activities was $93.6 million during the six months ended June 30, 2025 and included cash outflows of $101.5 million related to the purchase of marketable securities as well as $0.6 million related to the purchase of property and equipment, partially offset by maturities of marketable securities of $8.5 million.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Cash Provided by (Used in) Financing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during the six months ended June 30, 2026 was $139.7 million resulting from $123.6 million in net proceeds from an underwritten public offering of our common stock, $15.6 million in net proceeds from the issuance of common stock through our ATM facility and $3.2 million in stock option exercise proceeds, partially offset by $2.0 million in principal payments on our term loan, and a $0.7 million payment of the final fee related to the maturity of our term loan in April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financing activities during the six months ended June 30, 2025 was $3.0 million due to principal payments on our term loan.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primary uses of capital are, and we expect will continue to be, research and development services, compensation and related expenses and general overhead costs. We expect to continue to incur significant expenses and operating losses for the foreseeable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our current operating plan, we estimate that our existing cash, cash equivalents, and marketable securities as of the filing date of this Quarterly Report will be sufficient to fund our operations and capital expenses through 2029. However, we have based this estimate on assumptions that may prove to be wrong, and we could exhaust our available capital resources sooner than we expect.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cost and progress of preclinical and clinical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regulatory submissions and timing of regulatory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progress of the development efforts of parties with whom we may in the future enter into licenses, collaborations or other strategic partnerships;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cash requirements of any future acquisitions or discovery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licenses, collaborations or other strategic partnerships with third parties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involved in prosecuting and enforcing patent and other intellectual property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manufacturing our product candidates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commercialization activities of any future product candidates that are approved for sale, including marketing, sales and distribution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enhance operational systems and hire additional personnel, including personnel to support development of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 to satisfy our obligations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outcome of any of these or other variables with respect to the development of BGE-102 or any product or development candidate we may develop in the future could significantly change the costs and timing associated with our development plans. Further, our operating plans may change in the future, and we may need additional funds to meet operational needs and capital requirements associated with such operating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such time, if ever, as we can generate substantial product revenues, we expect to finance our cash needs through equity offerings, debt financings or other capital sources, which could include licenses, collaborations, or other strategic partnerships. We currently have no credit facility or committed sources of capital. Adequate additional funds may not be available to us on acceptable terms, or at all. To the extent that we raise additional capital through the sale of equity or convertible debt securities, the ownership interests of our existing stockholders may be diluted, and the terms of these securities may include liquidation or other preferences that could adversely affect the rights of such stockholders.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 If we raise additional funds through licenses, collaborations, or other strategic partnerships with third parties, we may have to relinquish valuable rights to our technologies, future revenue streams, research program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There is no assurance that we will ever be profitable or generate positive cash flow from operating activities.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Lease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lease office and lab space at our corporate headquarters in Emeryville, California (the Emeryville Lease). The Emeryville Lease is accounted for as an operating lease and expires on February 28, 2031. Non-cancellable base rent lease obligations as of June 30, 2026 were $3.7 million, of which $0.8 million is due within the next 12 months.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Purchase and Other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 into contracts in the normal course of business with CROs, CDMOs and other third-party vendors for preclinical research studies and testing, clinical trials and testing and manufacturing services. Most contracts do not contain minimum purchase commitments and are cancellable by us upon written notice. Payments due upon cancellation consist of payments for services provided or expenses incurred, including non-cancellable obligations of service provided up to one year after the date of cancellation.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critical accounting policies and estimates are described in “Item 7. Management’s Discussion and Analysis of Financial Condition and Results of Operations—Critical Accounting Policies and Estimates” in our Annual Report on Form 10-K. We have reviewed those critical accounting policies and estimates for the six months ended June 30, 2026. There have been no significant changes in our critical accounting policies and estimates from those disclosed in our Annual Report on Form 10-K for the fiscal year ended December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Section 107(b) of the JOBS Act an “emerging growth company” can delay the adoption of new or revised accounting standards until such time as those standards would apply to private companies. We have elected this exemption to delay adopting new or revised accounting standards until such time as those standards apply to private companies. Where allowable we have early adopted certain standards as described in Note 1 of our unaudited condensed consolidated financial statements included elsewhere in this Quarterly Report. As a result, our unaudited condensed consolidated financial statements may not be comparable to companies that comply with the new or revised accounting pronouncements as of public company effective dates. We will continue to remain an “emerging growth company” until the earliest of the following: (i) the last day of the fiscal year following the fifth anniversary of the date of the completion of our IPO; (ii) the last day of the fiscal year in which our total annual gross revenue is equal to or more than $1.235 billion; (iii) the date on which we have issued more than $1.0 billion in nonconvertible debt during the previous three years; or (iv) the date on which we are deemed to be a large accelerated filer under the rules of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is less than $700.0 million and our annual revenue is less than $100.0 million during the most recently completed fiscal year. We will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aggregate market value of our common stock held by non-affiliates as of June 30, 2026, which exceeded $700.0 million, we expect to cease being an emerging growth company and a smaller reporting company as of December 31, 2026. As a result, beginning with our Quarterly Report on Form 10-Q for the quarter ending March 31, 2027, we expect to become subject to the requirements applicable to non-accelerated filers that are neither emerging growth companies nor smaller reporting companies, including expanded executive compensation and financial statement disclosure. In addition, we will no longer be able to rely on the extended transition period under Section 107(b) of the JOBS Act, and will be required to adopt new or revised accounting standards as of the effective dates applicable to public companies that are not emerging growth companies.</w:t>
      </w:r>
    </w:p>
    <w:p>
      <w:pPr>
        <w:pStyle w:val="TextBody"/>
        <w:bidi w:val="0"/>
        <w:spacing w:before="240" w:after="283"/>
        <w:jc w:val="both"/>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smaller reporting company as defined by Rule 12b-2 under the Exchange Act and are not required to provide the information otherwise required under this item. </w:t>
      </w:r>
    </w:p>
    <w:p>
      <w:pPr>
        <w:pStyle w:val="TextBody"/>
        <w:bidi w:val="0"/>
        <w:spacing w:before="240" w:after="283"/>
        <w:jc w:val="both"/>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Management’s Evaluation of our Disclosure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June 30, 2026.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identified in management’s evaluation pursuant to Rules 13a-15(f) or 15d-15(f) of the Exchange Act during the quarter ended June 30, 2026 that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both"/>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7, 2025, a putative securities class action complaint was filed against us and certain of our officers and directors in the United States District Court for the Northern District of California (the "Court"). The complaint alleged violations of Section 11 and Section 15 of the Securities Act of 1933, based on allegations that defendants misrepresented and/or omitted certain information in our initial public offering registration statement concerning azelaprag. An amended complaint was filed on June 2, 2025. On October 30, 2025, the Court entered an order granting defendants’ motion to dismiss without prejudice. On November 20, 2025, a further amended complaint was filed. On March 2, 2026, the Court entered an order granting defendants’ further motion to dismiss with prejudice. On March 27, 2026, the plaintiff filed a notice of appeal of the Court’s order granting defendants’ motion to dismiss. On July 22, 2026, the plaintiff filed its opening brief in the United States Court of Appeals for the Ninth Circuit. Defendants’ answering brief is due on September 18, 2026, and any reply brief from the plaintiff is due by October 2, 2026. Oral argument, to the extent scheduled, would likely occur in early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be subject to other legal proceedings arising in the ordinary course of business. In the opinion of management, we do not believe that the matter described above, or any other pending legal proceedings, is material to our business, financial condition or results of operations. Regardless of the outcome, litigation can have an adverse impact on us due to defense and settlement costs, diversion of management resources, negative publicity and reputational harm.</w:t>
      </w:r>
    </w:p>
    <w:p>
      <w:pPr>
        <w:pStyle w:val="TextBody"/>
        <w:bidi w:val="0"/>
        <w:spacing w:before="24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in our common stock involves a high degree of risk. Before making your decision to invest in shares of our common stock, you should carefully consider the risks described below, together with the other information contained in this Quarterly Report, including in the section titled “Management’s Discussion and Analysis of Financial Condition and Results of Operations” and in our unaudited condensed consolidated financial statements and the related notes included elsewhere in this Quarterly Report. The risks and uncertainties described below are not the only ones we face. Additional risks and uncertainties that we are unaware of or that we deem immaterial may also become important factors that adversely affect our business.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 These disclosures reflect the Company’s beliefs and opinions as to factors that could materially and adversely affect the Company and its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is subject to a number of risks and uncertainties, including, among others,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biopharmaceutical company with a limited operating history, have not completed any clinical trials beyond Phase 1b and have no products approved for commercial sale, which may make it difficult for investors to evaluate our business, likelihood of success and viability.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substantially dependent on our ability to identify and develop future product candidates. If we are unable to advance the development of, receive regulatory approval for and ultimately successfully commercialize BGE-102 or any future product candidates we may develop, or experience significant delays in doing so, our business will be materially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Drug development is a lengthy and expensive process, the outcome of clinical testing is inherently uncertain, and results of earlier studies and trials may not be predictive of future trial results. We may incur additional costs or experience additional delays in completing, or ultimately be unable to complete, the development and commercialization of BGE-102, our APJ programs or any future product candidates for many reasons, including a failure to replicate positive results from earlier preclinical studies or clinical trials in future preclinical studies or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develop future product candidates in combination with other therapies, which would expose us to additional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expand our development, clinical and regulatory capabilities and operations as we grow, and as a result, we may encounter difficulties in managing our growth, which could disrupt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quarterly and annual operating results may fluctuate significantly or may fall below the expectations of investors or securities analysts, each of which may cause our stock price to fluctuate or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results or publicity for one drug for atherosclerotic cardiovascular disease (ASCVD) risk reduction, diabetic macular edema (DME) or obesity, or for NLRP3 inhibitors generally, could have a substantial impact on all drugs and product candidates for ASCVD risk reduction, DME or obesity, including any potential product candidates we may have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securities litigation, which is expensive and could divert management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previously identified material weaknesses in our internal control over financial reporting. Although we have remediated these material weaknesses, we may identify additional material weaknesses or other deficiencies in the future or otherwise fail to maintain an effective system of internal controls, which could result in material misstatements of our financial statements or cause us to fail to meet our reporting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manufacture of pharmaceutical products, including BGE-102 and any future product candidates, is complex. Our third-party manufacturers may encounter difficulties in production, which could delay or entirely halt their ability in the future to supply our product candidates for clinical trials or, if approved, for commercial sale.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Financial Position, Limited Operating History and Need for Additional Capital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have not completed any clinical trials beyond Phase 1b and have no products approved for commercial sale, which may make it difficult for investors to evaluate our business, likelihood of success and viability.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clinical-stage biopharmaceutical company with a limited operating history on which to base your investment decision. Drug development is a highly speculative undertaking and involves a substantial degree of risk. It entails substantial upfront capital expenditures and significant risk that any product candidate will fail to demonstrate adequate efficacy or an acceptable safety profile, gain regulatory approval or become commercially viable. We commenced operations in 2015, have no products approved for commercial sale and have never generated any revenue from product sales. To date, we have devoted substantially all of our resources to identifying, acquiring and developing our product candidates and licensed technologies, building our pipeline, performing research, conducting preclinical studies and early-stage clinical trials,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funded our operations with proceeds from sales of our redeemable convertible preferred stock, convertible notes, proceeds from the sale of our common stock, and stock option exercises. We have not yet demonstrated an ability to successfully complete any clinical trials beyond Phase 1. Additionally, we have not yet demonstrated an ability to obtain regulatory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encounter unforeseen expenses, difficulties, complications, delays and other known and unknown factors and risks frequently experienced by biopharmaceutical companies.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significant operating losses since our inception and expect to incur significant losses for the foreseeable future. We do not have any products approved for sale and have not generated any product revenue since our inception. If our future product candidates are not successfully developed, approved and commercialized, we may never generate significant revenue, if we generate any revenue at all. Our net losses were $48.4 million and $34.5 million for the six months ended June 30, 2026 and 2025, respectively. As of June 30, 2026, we had an accumulated deficit of $381.8 million. Substantially all of our losses have resulted from expenses incurred in connection with the development of, and in-licensing of intellectual property related to, our former product candidate azelaprag, the research and development of our NLRP3 programs, our longitudinal human aging platform, and from general and administrative costs associated with our operations. BGE-102 and any future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in connection with our planned and ongoing clinical trials for BGE-102, a potent, orally bioavailable, brain-penetrant small-molecule NLRP3 inhibitor being developed for diseases driven by inflammation including retinal diseases such as DME, our planned development of APJ agonists, and as we continue our development of, seek regulatory approval for and potentially commercialize BGE-102 or any future product candidates we may develop.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become and remain profitable, we must succeed in developing, obtaining regulatory approvals for, and eventually commercializing products that generate significant revenue. This will require us to be successful in a range of challenging activities, including identifying, discovering, developing, in-licensing or acquiring any future product candidates, completing clinical trials of our product candidates, obtaining regulatory approval for BGE-102 and any future product candidates, and manufacturing, marketing, and selling any products for which we may obtain regulatory approval. We are only in the preliminary stages of these activities. We may never succeed in these activities and, even if we do, may never generate revenue that is significant enough to achieve profitability.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you to lose all or part of your investment.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BGE-102, through clinical development and any future product candidates through preclinical and clinical development. We expect increased expenses as we continue our research and development, initiate clinical trials, seek to expand our product pipeline and clinical applications, seek regulatory approval for our current and future product candidates and invest in our organization. In addition, if we obtain regulatory approval for any of our product candidates, we expect to incur significant commercialization expenses related to product manufacturing, marketing, sales and distribution. Because the outcome of any preclinical study or clinical trial is highly uncertain, we cannot reasonably estimate the actual amount of capital necessary to successfully complete the development and commercialization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had $381.3 million in cash, cash equivalents and marketable securities as of June 30, 2026 of which $62.5 million were long-term marketable securities. Based on our current operating plan, we estimate that our existing cash, cash equivalents and marketable securities as of the filing date of this Quarterly Report will be sufficient to fund our operations and capital expenses through 2029. Changes beyond our control may occur that would cause us to use our available capital before that time, including changes in and progress of our drug development activities and changes in regulation. Our future capital requirements will be dependent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progress, timing and results of clinical trials for our lead product candidate, BGE-102, or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develop, in-license or acquire any future product candidates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future product candidates and additional indications for our current product candidates we may pursue, and the preclinical studies and clinical trials necessary to develop them;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seeking regulatory approvals of our current or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and costs of making arrangements with third-party manufacturers, or establishing manufacturing capabilities, for both clinical and commercial supplies of our current or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involved in growing our organization to the size needed to allow for the research, development and potential commercialization of our current or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commercializing any approved product candidates, including establishing sales, marketing, market access and distribution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extent we pursue strategic collaborations, including collaborations to commercialize BGE-102 or any future product candidates, our ability to establish and maintain collaborations on favorable terms, if at all, as well as the timing and amount of any milestone or royalty payments we are required to make or are eligible to receive under such collaborations or our current licenses;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completing any post-marketing studies or trials required by the U.S. Food and Drug Administration (FDA) or other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BGE-102 or any future product candidates, if any are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potential product liability claims, including the costs associated with obtaining insurance against such claims and with defending against such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require additional capital to complete our planned preclinical development programs and advance any product candidates into clinical trials in order to seek regulatory approval, and we anticipate needing to raise additional capital to complete the development of, and eventually commercialize, any of our product candidates, if approved. For example, we are party to the Sales Agreement with Leerink relating to the sale and issuance, from time to time, of shares of our common stock in at-the-market equity offerings with an aggregate offering price up to $75.0 million. Adequate additional financing may not be available to us on favorable terms, or at all. Our ability to raise additional funds will be dependent on financial, economic and market conditions, geopolitical issues and other factors, over which we may have limited or no control. In addition, we may seek additional capital due to favorable market conditions or strategic considerations even if we believe we have sufficient funds for our current or future operating plans. If adequate funds are not available on commercially acceptable terms when needed, we may be forced to delay, reduce or terminate the development or commercialization, if approved, of all or part of our research programs or future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any future product candidates, if approved. Changing circumstances, some of which may be beyond our control, could cause us to consume capital significantly faster than we currently anticipate, and we may need to seek additional funds sooner than planned.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To the extent that we raise additional capital through the sale of equity or convertible debt securities, each investor’s ownership interests will be diluted, and the terms may include liquidation or other preferences that adversely affect each investor’s rights as a stockholder. Debt financing or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 If we raise additional funds through upfront payments or milestone payments pursuant to strategic collaborations with third parties, we may have to relinquish valuable rights to our product candidates or grant licenses on terms that are not favorable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failure to raise capital as and when needed or on acceptable terms could significantly harm our business, financial condition, results of operations and prospects and cause the price of our common stock to decline, and we may have to delay, reduce the scope of, suspend or eliminate one or more of our research or drug development programs, preclinical studies, future clinical trials or future commercialization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Research, Discovery, Development, Regulatory Approval and Commercialization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substantially dependent on our ability to identify and develop future product candidates. If we are unable to advance the development of, receive regulatory approval for and ultimately successfully commercialize BGE-102 or any future product candidates we may develop, or experience significant delays in doing so, our business will be materially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success is highly dependent on our ability to identify and develop, obtain regulatory approval for, and then successfully commercialize our lead product candidate, BGE-102, and any future product candidates, which may never occur. We are early in our development efforts with respect to BGE-102, which is a potent, orally bioavailable, brain-penetrant small-molecule NLRP3 inhibitor. We are also developing APJ agonists, which are in earlier stages of development. We currently have no products that are approved for sale in any jurisdiction. There can be no assurance that BGE-102 or any future product candidates we develop will achieve success in their respective clinical trials or obtain regulatory approval. We may also become dependent on product candidates that we may develop or acquire in the future. Given our early stage of development, it may be several years, if at all, before we have demonstrated the safety and efficacy of a product candidate sufficient to warrant approval for commercialization.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generate product revenue, which we do not expect will occur for many years, if ever, will be heavily dependent on the successful development and eventual commercialization of BGE-102, our APJ programs and any future product candidates. The success of BGE-102 and any future product candidates will be dependent on several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timely completion of preclinical studies and clinical trials demonstrating attractive, competitive target product profiles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clearance of INDs by the FDA or other similar clinical trial applications from other regulatory authorities for our future clinical trials for our pipeline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timely and successful enrollment of patients in, and completion of, clinical trials with favorable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demonstration of safety, efficacy and acceptable risk-benefit profiles of our product candidates to the satisfaction of the FDA and other comparable foreign regulatory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receipt of regulatory approvals from applicable regulatory authorities, if granted, including the completion of any required post-marketing studies or trials and available funding to perform any post-marketing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raising additional funds necessary to complete clinical development of and commercialize our current or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protecting and enforcing our patent, trade secret and other intellectual property and regulatory exclusivity for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making arrangements with third-party manufacturers, or establishing manufacturing capabilities, for both clinical and commercial supplies of our current or future product candidates and ensuring a resilient, effective supply chain that produces supply that outpaces demand;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and implementing marketing and reimbursement strategies, as well as adequate demand forecasts for supply and sales planning;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marketing and distribution capabilities and launching commercial sales of our products, if and when approved, whether alone or in collaboration with others in a market where promotional sales approaches are rapidly moving to digital platforms;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demonstration of product characteristics attractive to physicians, patients, advocates, payors and caregivers;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acceptance of our products, if and when approved, by patients, the medical community and third-party payors underpinned by adequate health economic data and a meaningful value proposition;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effectively competing with other therapies, including those that have not yet entered the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third-party payor coverage and adequate reimbursement in both public and private payor spaces, given the significant number of obese patients in the United States who may benefit from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appropriate support from patient advocacy organizations;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delays in our clinical trials resulting from any major natural disasters, health pandemics or significant political events;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 continued acceptable safety profile of the products following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clinical trial results for future product candidates show unexpected adverse events or a lack of efficacy in the indications we intend to treat or do not meet the clinical endpoints, or if we experience other regulatory or developmental issues. For instance, in December 2024, we announced the discontinuation of our Phase 2 clinical trial of our former lead product candidate azelaprag following observation of liver transaminitis without clinically significant symptoms in some subjects receiving azelaprag.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Due to our limited resources and access to capital, we must, and have in the past decided to, prioritize development of certain potential product candidates over other potential product candidates. These decisions may prove to have been wrong and may adversely affect our ability to develop our own programs or our attractiveness as a commercial partner, and may ultimately have an impact on our commercial success.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product candidates or therapeutic areas may not lead to the development of viable commercial products and may divert resources away from better opportunities. Similarly, any decisions to delay, terminate, or collaborate with third parties in respect of certain product development programs may also prove not to be optimal and could cause us to miss valuable opportunities. If we make incorrect determinations regarding the market potential of any future product candidates or misread trends in the biopharmaceutical industry, our business, financial condition, and results of operations would be materially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Drug development is a lengthy and expensive process, the outcome of clinical testing is inherently uncertain, and results of earlier studies and trials may not be predictive of future trial results. We may incur additional costs or experience additional delays in completing, or ultimately be unable to complete, the development and commercialization of BGE-102, our APJ programs or any future product candidates for many reasons, including a failure to replicate positive results from earlier preclinical studies or clinical trials in future preclinical studies or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2025, we announced that the first patient was dosed in our Phase 1 SAD / MAD clinical trial for BGE-102, and in April 2026 we reported results from the full Phase 1 SAD / MAD trial. In June 2026, we dosed the first participant in QUELL-CV, our Phase 2 dose-ranging proof-of-concept clinical trial of BGE-102 in participants with obesity and baseline inflammation at elevated cardiovascular risk. We also plan to initiate QUELL-DME, a Phase 1b/2a proof-of-concept trial of BGE-102 in DME, with results anticipated in mid-2027. It is impossible to predict when or if BGE-102 or any future product candidates will prove effective and safe in humans or will receive regulatory approval. To obtain the requisite regulatory approvals to commercialize any product candidate,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 The results of preclinical studies and early clinical trials of BGE-102 or any future product candidates, or a competitor’s product candidate in the same class, may not be predictive of the results of later-stage clinical trials. For example, despite encouraging results from our Phase 1b bed rest atrophy clinical trial and the lack of any negative safety signals in other Phase 1 clinical trials of azelaprag, in January 2025, we announced the discontinuation of the azelaprag program following observation of liver transaminitis without clinically significant symptoms in some subjects receiving azelaprag in our Phase 2 clinical trial. Interim, topline or preliminary results of a clinical trial are not necessarily indicative of final results. We may be unable to establish benefit on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regulatory approval of their products. A number of companies in the biopharmaceutical industry have suffered significant setbacks in advanced clinical trials due to lack of efficacy or to unfavorable safety profiles, notwithstanding promising results in earlier trials. There is typically a high rate of failure of product candidates proceeding through clinical trials, particularly in the earlier stages of development. Most product candidates that commence clinical trials are never approved as products, and there can be no assurance that any of our future clinical trials will ultimately be successful or support clinical development of any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experience delays in initiating or completing clinical trials of our future product candidates. We also may experience unforeseen events during, or as a result of, any future clinical trials that we conduct that could delay or prevent our ability to receive regulatory approval or commercialize BGE-102 or any future product candidates,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institutional review boards (IRBs) or ethics committees may not authorize us or our investigators to commence a clinical trial or conduct a clinical trial at a prospective trial site, or may halt or suspend an ongoing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sites deviating from the trial protocol or dropping out of a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our current or future product candidates in clinical trials to demonstrate important functional or patient-reported outcomes;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elect,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of BGE-102 or any future product candidates may be greater than we anticipate, and we may not have sufficient funds to complete such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quality of BGE-102 or any future product candidates or other materials necessary to conduct clinical trials of BGE-102 or any future product candidates may be inadequate to initiate or complete a given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manufacture sufficient quantities of BGE-102 or any future product candidates for use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meet drug specifications suitable for use in clinical trials and commercial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reports from clinical testing of other therapies may raise safety or efficacy concerns about BGE-102 or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receipt of feedback from regulatory authorities that requires us to modify the design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establish an appropriate safety profile for a product candidate based on clinical or preclinical data for such product candidate as well as data emerging from other molecules in the same class as BGE-102 or any future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other regulatory authorities may require us to submit additional data such as long-term toxicology studies or impose other requirements before permitting us to initiate a clinical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could also encounter additional delays if a future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including the FDA’s Good Clinical Practice (GCP) regulations,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BGE-102 or any future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with any certainty the schedule for commencement and completion of future clinical trials. Further, conducting clinical trials in foreign countries, as we have done and may do in the future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required to conduct additional clinical trials or other testing of our current or future product candidates beyond those that we currently contemplate, if we are unable to successfully complete clinical trials of our current or future product candidates or other testing in a timely manner, if the results of these trials or tests are not positive or are only modestly positive or if there are safety concerns, we may incur unplanned costs, be delayed in seeking and obtaining regulatory approval, if we receive such approval at all, receive more limited or restrictive regulatory approval, be subject to additional post-marketing testing requirements or have the drug removed from the market after obtaining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if the results of our clinical trials are inconclusive or if there are safety concerns or serious adverse events associated with our product candidates, we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delayed in obtaining regulatory approval,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 or may have restricted duration expectations or guidance;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subject to additional post-marketing testing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required to perform additional clinical trials to support approval or be subject to additional post- marketing testing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regulatory authorities withdraw, or suspend, their approval of the drug or impose restrictions on its distribution in the form of a Risk Evaluation and Mitigation Strategy (REMS);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subject to the addition of labeling statements, such as warnings or contraindications;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sued;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damage to our reputation.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drug development costs will also increase if we experience delays in testing or obtaining regulatory approvals. Also, delays in obtaining regulatory approval may increase commercialization costs if the competitive environment becomes more intense prior to market entry. We do not know whether any of our preclinical studies or clinical trials will begin as planned, need to be restructured or be completed on schedule,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regulatory approval of one or more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If we experience delays in the commencement or completion of our clinical trials, or if we terminate a clinical trial prior to completion, the commercial prospects of any future product candidates could be negatively impacted, and our ability to generate revenues from our current or future product candidates may be delayed or eliminated entirely.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develop future product candidates in combination with other therapies, which would expose us to additional risks.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develop other product candidates for use in combination with other therapies in the future. The development of product candidates for use in combination with another product may present challenges that are not faced for single agent product candidates. For example, any future clinical trial for our product candidates in combination with other therapies that is designed to evaluate efficacy could show that our product candidate does not sufficiently contribute to the observed effects of individuals who participate in these trials. Even if any future product candidates were to receive regulatory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any future product candidates are approved for use could themselves fall out of favor or be relegated to later lines of treatment. This could result in the FDA or similar foreign regulatory authorities requiring us to conduct additional clinical trials, the need to identify other combination therapies for our product candidates or our own products being removed from the market or being less successful commercially.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or other comparable foreign regulatory authorities do not approve or withdraw their approval of these other therapies, or if safety, efficacy, commercial adoption, manufacturing or supply issues arise with the therapies we choose to evaluate in combination with any future product candidates, we may be unable to obtain approval of or successfully market any one or all of the future product candidates we may develop. Additionally, if the third-party providers of therapies or therapies in development used in combination with any future product candidates are unable to produce sufficient quantities for clinical trials or for commercialization of any future product candidates, or if the cost of combination therapies is prohibitive, our development and commercialization efforts would be impaired, which would have an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Preliminary, topline or interim data from our clinical trials that we announce or publish from time to time may change as more patient data become available and/or are subject to audit and verification procedures that could result in material changes in the final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publicly disclose preliminary, topline or interim data from our clinical trials, such as preliminary, topline or interim data analysis from our ongoing and planned clinical trials of BGE-102. For example, we announced interim data from our Phase 1 SAD / MAD study of BGE-102 in December 2025 and January 2026. These data and related findings and conclusions may only reflect certain endpoints rather than all endpoints and are subject to change.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have been received and fully evaluated.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Preliminary or topline data also remain subject to review and verification procedures that may result in the final data being materially different from the preliminary or topline data we previously published. As a result, preliminary and topline data should be viewed with caution until the final data are available. In addition, we may report preliminary data or interim analyses of the clinical trials we may conduct and complete, which are subject to the risk that one or more of the clinical outcomes may materially change as patient enrollment continues and more patient data become available. Adverse changes between preliminary or interim data and final data could significantly harm our business and prospects. Further, additional disclosure of preliminary or interim data by us including, for example, preliminary or interim data that becomes available to us from our ongoing and planned clinical trials of BGE-102 or other future product candidates or by our competitors in the future could result in volatility in the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topline or interim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successful in applying our longitudinal human aging platform to identify additional targets with therapeutic and commercial potential or in the discovery and development of commercially viable product candidates for us or our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our longitudinal human aging platform to identify and prioritize potential drug targets, to assess the likelihood that we can develop a product candidate that interacts with the target to elicit the desired therapeutic effect, and to transition these insights efficiently into well supported therapeutic candidates. While we believe our platform will increase the likelihood of producing additional product candidates that provide meaningful clinical benefit, past success in identifying potential product candidates does not assure future success for our internal drug discovery programs. Our longitudinal human aging platform is novel, and we may not succeed in applying our platform to identify additional drug targets or transition these targets into promising future product candidates. We similarly cannot provide any assurance that, even if we do successfully identify additional targets, we will be able to successfully develop future product candidates and advance any such future product candidates into and through clinical development. Therefore, we are unable to predict the time and cost associated with the identification and development of any future product candidate or whether the application of our platform will result in the identification, development and ultimately regulatory approval of any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Efforts through our platform to identify, discover, acquire or in-license, and ultimately develop, product candidates require substantial technical, financial and human resources, whether or not any such future product candidates are ultimately identified. Our efforts may initially show promise in identifying potential product candidates, yet fail to yield product candidates for clinical development or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methodology used may not be successful in identifying any future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develop alternatives that render any product candidates we develop obsolete;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product candidates we develop may nevertheless be covered by third parties’ patents or other exclusive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be shown, in subsequent preclinical or clinical investigations, to have harmful side effects or characteristics that indicate it is unlikely to be effective, or otherwise would not meet applicable regulatory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capable of being produced in commercial quantities at an acceptable cost, or at all;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accepted as safe and effective by physicians, patients, the medical community or third-party payors.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future growth may be dependent, in part, on our ability to operate in foreign markets, where we would be subject to additional regulatory burdens and other risks and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growth may be dependent, in part, on our ability to develop and commercialize BGE-102, if approved, and any future product candidates in foreign markets for which we may rely on collaboration with third parties. We are not permitted to market or promote BGE-102 or any future product candidates before we receive regulatory approval from the applicable regulatory authority in that foreign market and may never receive such regulatory approval for BGE-102 or any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BGE-102 or any future product candidates, and we cannot predict success in these jurisdictions. If we fail to comply with the regulatory requirements in international markets and receive applicable regulatory approvals, our target market will be reduced and our ability to realize the full market potential of BGE-102 or any future product candidates will be harmed, and our business will be adversely affected. We may not obtain foreign regulatory approvals on a timely basis, if at all. Our failure to obtain approval of BGE-102 or any future product candidates by regulatory authorities in another country may significantly diminish the commercial prospects of that product candidate and our business, financial condition, results of operations and prospects could be materially and adversely affected. Moreover, even if we obtain approval of BGE-102 or any future product candidates and ultimately commercialize BGE-102 or any future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experience difficulty enrolling or keeping patients in our clinical trials, which could delay or prevent us from proceeding with, or otherwise adversely affect, clinical trials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clinical trials will compete with other clinical trials for product candidates that are in the same therapeutic areas as our product candidates, and this competition could reduce the number and types of patients available to us, because some patients who might have opted to enroll in our trials may instead opt to enroll in a trial being conducted by one of our competitors. Since the number of qualified clinical investigators is limited, it is possible that we will be required to conduct some of our clinical trials at the same clinical trial sites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that some of our competitors use, which could negatively impact the number of patients who are available for our clinical trials in such clinical trial site.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Delays related to patient enrollment and difficulties related to patient retention may result in increased costs or may affect the timing or outcome of our future clinical trials, which could prevent completion of these trials and adversely affect our ability to advance the development of our product candidates. 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current or future product candidates may not achieve adequate market acceptance among physicians, patients or their families, healthcare payors and others in the medical community necessary for commercial success.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our current or future product candidates receive regulatory approval, they may not gain adequate market acceptance among physicians, patients or their families, third-party payors and others in the medical community. The degree of market acceptance of any of our approved product candidates will be dependent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durability and safety profile as demonstrated in clinical trials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for which a product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use of product candidates in the labeling approved by regulatory authorities, such as boxed warnings or contraindications in labeling, or a REMS, if any, which may not be required of alternative treatments and competitor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and perceived advantages of our current or future product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treatment in relation to alternative treatments and the cost/benefit ratios of each;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coverage and adequate reimbursement by third-party payors, including government authorities, given the significant number of obese patients in the United States, and timing of relevant formulary decision-making resulting in this coverage and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an approved product for use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relative convenience and ease of administration in relation to competition;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sales, marketing efforts and market access;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publicity relating to our product candidates or those of our competitors;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of new therapies for the same indications.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of our current or future product candidates are approved but do not achieve an adequate level of acceptance by physicians, hospitals, healthcare payors and patients, we may not generate or derive sufficient revenue from that product candidate and our financial results would be negatively impacted.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never commercialized a product candidate as a company before and currently lack the comprehensive, fully staffed expertise, personnel and resources to successfully commercialize any products on our own or together with suitable collaborators. If, in the future, we are unable to establish sales and marketing capabilities or enter into agreements with third parties to sell and market any product we may develop, we may not be successful in commercializing those products if they are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 sales or marketing infrastructure and have no experience in the sales, marketing or distribution of any current or future product candidates. To achieve commercial success for any approved product, we must either develop a sales and marketing organization or outsource these functions to third parties. In the future and if any of our product candidates are approved, we may choose to build a focused sales, marketing and commercial support infrastructure to sell, or participate in sales activities with collaborators for some of our current or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risks involved with both establishing our own commercial capabilities and entering into arrangements with third parties to perform these services. For example, factors that may inhibit our efforts to commercialize any approved product candidates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recruit and retain adequate numbers of effective sales, marketing, coverage or reimbursement, customer service, medical affairs and other support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of sales personnel to obtain access to or persuade adequate numbers of decision makers to utilize any future approved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of reimbursement professionals to negotiate arrangements for formulary access, reimbursement and other acceptance by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price any of our current or future product candidates at a sufficient price point to ensure an adequate and attractive level of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restricted or closed distribution channels that make it difficult to distribute our current or future product candidates to segments of the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lack of complementary product candidates to be offered by sales personnel, which may put us at a competitive disadvantage relative to companies with more extensive product candidate lines;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unforeseen costs and expenses associated with creating an independent commercialization organization.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commercial launch of a product candidate, if approved,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enter into arrangements with third parties to perform sales, marketing, commercial support and distribution services, our sales revenue or the profitability of sales revenue may be lower than if we were to do so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we will not be successful in commercializing our product candidates, if approved.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and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future performance is dependent on our ability to retain key employees and to attract, retain and motivate qualified personnel and manage our human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compete in the highly competitive biotechnology and biopharmaceutical industries is largely dependent on our ability to attract, motivate and retain highly qualified managerial, clinical, scientific and medical personnel. We are highly dependent on the scientific and management expertise of Dr. Fortney, our Chief Executive Officer, the other members of our management team and other key employees and advisors. We currently do not maintain “key person” life insurance on these individuals or any of our employees. This lack of insurance means that we may not have adequate compensation for the loss of the services of any such individuals. The loss of one or more members of our management team or other key employees or advisors could delay our research and development programs and have a material and adverse effect on our business, financial condition, results of operations and prospects. We are dependent on the continued service of our technical personnel, because of the highly technical nature of drug development and the specific knowledge related to BGE-102 or any future product candidates and technologies, and the specialized nature of the regulatory approval process. Because our management team and key employees are not obligated to provide us with continued service, they could terminate their employment with us at any time without penalty.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a remote-based company, with a majority of our employees working remotely, and we primarily conduct our in-person operations at our research facility in Emeryville, California. This region is headquarters to many other biopharmaceutical companies and academic and research institutions. Competition for skilled personnel in our market, and nationally, is intense and may limit our ability to hire and retain highly qualified personnel on acceptable terms or at all. We also face competition for personnel from other companies, universities, public and private research institutions, government entities and other organizations. Our industry has experienced a high rate of turnover of management personnel in recent years. Our future performance will be dependent in large part on our continued ability to attract and retain highly qualified scientific, technical and management personnel, as well as personnel with expertise in clinical testing, manufacturing, governmental regulation and commercialization. If we are unable to continue to attract and retain high-quality personnel, the rate and success at which we can discover and develop product candidates will be limited, which could have a material and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quarterly and annual operating results may fluctuate significantly or may fall below the expectations of investors or securities analysts, each of which may cause our stock price to fluctuate or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operating results to be subject to quarterly fluctuations. Our net loss and other operating results will be affected by numerous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variations in the level of expense related to the ongoing development of BGE-102 or any future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preclinical studies and clinical trials, or the addition or termination of future clinical trials or funding support by us, or existing or future collaborators or licensing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enroll patients in clinical trials and the timing of enrollment;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need to conduct unanticipated clinical trials or trials that are larger or more complex than anticipated;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execution of any additional collaboration, licensing or similar arrangements, and the timing of payments we may make or receive under existing or future arrangements or the termination or modification of any such existing or future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developments affecting BGE-102 or any future product candidates or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unforeseen business disruptions that increase our costs or expenses; effects of global macroeconomic events, such as inflation, tariffs, political instability and military hostilities in multiple geographies, such as the conflicts in Ukraine, Venezuela, Iran, tensions between China and Taiwan and the possibility of a wider Middle Eastern, European or global conflict, pandemics, natural disasters and supply chain issues, on our business and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We believe that quarterly or annual comparisons of our financial results are not necessarily meaningful and should not be relied on as an indication of our future performance.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expect to expand our development, clinical and regulatory capabilities and operations as we grow, and as a result, we may encounter difficulties in managing our growth, which could disrupt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to increase the number of our employees and the scope of our operations, particularly in the areas of clinical development, clinical operations, manufacturing, regulatory affairs, finance, accounting, business operations, communications and other corporate development functions, and, if BGE-102 or any future product candidates receive regulatory approval, sales, marketing and distribution capabilities. If we acquire additional product candidates or enter into future collaborations, we may have to further expand our employee base beyond our current projections, which may include further preclinical research and development or regulatory operations.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not able to effectively manage growth and expand our operations, we may not be able to successfully implement the tasks necessary to further develop and commercialize, if approved, BGE-102 or any future product candidates and, accordingly, we may not achieve our research, development and commercialization goals.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products before or more successfully than we do,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development and commercialization of new drug products is highly competitive, and specifically the development and commercialization of therapeutics for cardiometabolic diseases, ophthalmology, and obesity is particularly competitive. Our current and any future product candidates, if approved, will face significant competition, including from well-established, currently marketed therapies or recommended standards of care, and our failure to demonstrate a meaningful improvement to the existing standards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biopharmaceutical and biotechnology companies, academic research institutions and governmental agencies and public and private research institutions.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future product candidates, if approved, would face competition from other approved treatments, some of which have already achieved commercial success. To compete successfully, we will need to differentiate any of our future therapies, if approved, from currently marketed drugs as well as those that may be approved in the future, meaning that we will have to demonstrate that the relative cost, method of administration, safety, tolerability or efficacy of our future therapies provides a better alternative or complement to existing and new therapies. Our commercial opportunity and likelihood of success will be reduced or eliminated if our future therapies are not ultimately demonstrated to be safer, more effective, more conveniently administered, or less expensive than the current standards of care. Furthermore, even if future therapies are able to achieve these attributes, acceptance of such therapies may be inhibited by the reluctance of physicians to switch from existing therapies, or if physicians choose to reserve our future therapies for use in limited circumstances.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our competitors have significantly greater financial, technical, manufacturing, marketing, sales and supply resources or experience than we have. If we obtain regulatory approval for any product candidate, we will face competition based on many different factors, including the safety and effectiveness of any future product candidates, the ease with which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any future product candidates. Such competitors could also recruit our employees, which could negatively impact our level of expertise and our ability to execute our business plan. Mergers and acquisitions in the biopharmaceutical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estimates of market opportunity and forecasts of market growth included in this Quarterly Report may prove to be smaller than we believe, and even if the markets in which we compete achieve the forecasted growth, our business may not grow at similar rates,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intend to initially focus our product candidate development on treatments for DME and obesity. Our projections of addressable patient populations within any particular disease state that may benefit from treatment with our product candidates are based on our estimates. Market opportunity estimates and growth forecasts included in this Quarterly Report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diseases. Similarly, the percent of the population with DME and obesity could be lower than we anticipate. In both instances, the pool of potential patients that our current or any future product candidates could address could be substantially smaller than we anticipate. Additionally, the potentially addressable patient population for any future product candidates may not ultimately be amenable to treatment with any future product candidates. Our market opportunity may also be limited by future competitor treatments that enter the market. If any of our estimates prove to be inaccurate, the market opportunity for any future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candidates that we or our strategic partners develop could be significantly diminished and have an adverse material impact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Negative results or publicity for one drug for ASCVD risk reduction, DME or obesity, or for NLRP3 inhibitors generally, could have a substantial impact on all drugs and product candidates for ASCVD risk reduction, DME or obesity, including any potential product candidates we may have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can be affected by adverse publicity or negative public perception about us, our competitors, our future product candidates or products, if approved, or our industry or competitors generally. Adverse publicity may include publicity about ASCVD risk reduction, DME or obesity, or about NLRP3 inhibitors or GLP-1R agonists generally, the efficacy, safety, and quality of our future product candidates, as well as of the broader category of obesity products, including any products that our future product candidates are intended to be used in combination with, and regulatory investigations, regardless of whether these investigations involve us or the business practices or products of our competitors or our customers. Any adverse publicity or negative public perception could have a material adverse effect on our business, financial condition, and results of operations. Further, any adverse effects in our future clinical trials, even if not ultimately attributable to our future product candidates, and the resulting publicity could result in withdrawal of clinical trial participants, and a decrease in demand for any such future product candidates. Our business, financial condition, and results of operations could be adversely affected if any of our future product candidates or products, if approved, or any similar products distributed by other companies are alleged to be or are proved to be harmful to consumers or to have unanticipated and unwanted health consequences.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have a material and adverse effect on our business, financial condition, results of operations and prospects. If product liability lawsuits are brought against us, we may incur substantial liabilities and may be required to limit, delay or cease commercialization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we conduct clinical trials of our current and any future product candidates, we may be exposed to significant product liability risks inherent in the development, testing, manufacturing and marketing of therapeutic treatments. Product liability claims could delay or prevent completion of our development programs. If we succeed in marketing products, if approved,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If we cannot successfully defend ourselves against product liability claims, we may incur substantial liabilities or be required to limit, delay or cease the commercialization of our products. Regardless of the merits or eventual outcome, liability claims may also result in decreased demand for our products,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maintain approximately $18.0 million in general liability insurance and product liability insurance in the aggregate. We may, however, need to obtain higher levels of insurance coverage for later stages of clinical development or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 Our inability to obtain and retain sufficient product liability insurance at an acceptable cost to protect against potential product liability claims could prevent or inhibit the commercialization of our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employees, independent contractors, consultants and vendors may engage in misconduct or other improper activities, including noncompliance with regulatory standards and requirements and insider trading, and we may be subject to claims that our employees, consultants or independent contractors have wrongfully used or disclosed confidential information of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exposed to the risk of employee fraud or other illegal activity by our employees, independent contractors, consultants and vendors. Misconduct by these parties could include intentional, reckless and/or negligent conduct that fails to comply with FDA regulations, provide true, complete and accurate information to the FDA or other regulatory authorities, comply with manufacturing standards we may establish, comply with healthcare fraud and abuse laws and regulations, report financial information or data accurately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disclose unauthorized activities to us. If we obtain FDA approval of any of our current or future product candidates and begin commercializing those products in the United States, our potential exposure under these laws will increase significantly, and our costs associated with compliance with these laws will likely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or other regulatory authorities, exclusion from participation in government contracting, healthcare reimbursement or other government programs, including Medicare and Medicaid, integrity oversight and reporting obligations, or reputational harm.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received confidential and proprietary information from third parties. In addition, we employ individuals who were previously employed at other biotechnology or pharmaceutical companies. Although we try to ensure that individuals working for or collaborating with us do not use the proprietary information or know-how of others in their work for us, we may be subject to claims that we or our employees, consultants, or independent contractors have inadvertently or otherwise used or disclosed confidential information proprietary to these third parties or our employees’ former employers, or that we caused an employee to breach the terms of his or her non-competition or non-solicitation agreement. We may be subject to claims that patents and applications we have filed to protect inventions of our employees, consultants, advisors, or other third parties,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 and be a distraction to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engage in strategic transactions that could increase our capital requirements, dilute our stockholders, cause us to incur debt or assume contingent liabilities, subject us to other risks, adversely affect our liquidity, increase our expenses and present significant distractions to our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consider strategic transactions, such as acquisitions of companies, asset purchases and out-licensing or in-licensing of intellectual property, products or technologies. Additional potential transactions that we may consider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may be limited.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Under current law, unused U.S. federal net operating losses generated in tax years beginning after December 31, 2017, will not expire and may be carried forward indefinitely but the deductibility of such federal net operating losses for any year is limited to no more than 80% of current year taxable income (without regard to certain deductions). In addition, both our current and our future net operating losses and other tax attributes may be subject to limitation under Sections 382 and 383 of the U.S. Internal Revenue Code of 1986, as amended, if we undergo, or have undergone, an “ownership change,” generally defined as a greater than 50 percentage point change (by value) in our equity ownership by certain stockholders or groups of stockholders over a three-year period. It is possible that we have undergone one or more “ownership changes” in the past. We may also undergo ownership changes in the future as a result of shifts in the ownership of our capital stock, some of which may be outside of our control, which may further limit our ability to use our pre-change net operating loss carryforwards and other pre-change tax attributes (such as research tax credits) to offset our post-change income or taxes.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tax laws or regulations that are applied adversely to us may have a material adverse effect on our business, cash flows, financial condition or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New income, sales, use or other tax laws, statutes, rules or regulations could be enacted at any time, which could adversely affect our business operations and financial performance. Further, existing tax laws, statutes, rules, regulations or ordinances could be interpreted, changed, modified or applied adversely to us. For example, future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 In addition, under the Tax Cuts and Jobs Act, as amended by the One Big Beautiful Bill Act ("OBBBA") for tax years beginning after December 31, 2021, taxpayers are required to capitalize and amortize certain research and development expenditures over fifteen years if incurred in foreign jurisdictions. For tax years beginning after December 31, 2021, and beginning on or before December 31, 2024, taxpayers generally were required to capitalize and amortize certain research and development expenditures over five years if incurred in the United States; however, beginning after that period, the OBBBA restored immediate deductibility of research and development expenditures incurred in the United States and also permits certain small business taxpayers to apply these changes retroactively to tax years beginning after December 31, 2021.</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the periodic reporting requirements of the Securities Exchange Act of 1934, as amended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Securities and Exchange Commission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previously identified material weaknesses in our internal control over financial reporting. Although we have remediated these material weaknesses, we may identify additional material weaknesses or other deficiencies in the future or otherwise fail to maintain an effective system of internal controls, which could result in material misstatements of our financial statements or cause us to fail to meet our reporting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previously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preparing the financial statements as of and for the years ended December 31, 2023 and 2022, management previously determined it had not maintained appropriately designed entity-level controls impacting the control environment, risk assessment procedures and monitoring activities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prevent or detect material misstatements to our condensed consolidated financial statements, which constituted material weaknesses. Specifically, the control deficiencies related to (i) insufficient identification and assessment of risks impacting the design, implementation and operating effectiveness of internal controls over financial reporting and (ii) insufficient evaluation and determination as to whether components of internal control were present and functioning based upon evidence maintained for activity level controls, including management review controls, across substantially all of our financial statement areas. Management had also determined that it did not maintain effective information technology controls in the areas of user access, change management and segregation of duties, within the systems supporting our accounting and reporting processes. During the fiscal year ended December 31, 2024, we successfully completed the testing necessary to conclude that the material weaknesses have been remediated.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Effective internal controls are necessary for us to provide reliable financial statements and prevent or detect fraud. Although the material weaknesses in internal control over financial reporting described above have been remediated, any new material weaknesses or other deficiencies identified in the future or any deficiencies in our disclosure controls and procedures, if not timely remediated, could limit our ability to prevent or detect a misstatement of our accounts or disclosures that could result in a material misstatement of our annual or interim financial statements. We cannot assure you that the remediation measures we have taken to date will be sufficient to prevent or avoid potential future material weaknesses in our internal controls.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and financial condition or divert financial and management resources from our regular business activities.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and the third parties with whom we work are, or may in the future be, subject to stringent and changing data privacy and security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(collectively, “process”) certain personal information and other sensitive information, including our proprietary and confidential business data, trade secrets, employee data, intellectual property, data we collect about trial participants in connection with clinical trials, and other sensitive data. The global data protection landscape is rapidly evolving and we are or may become subject to numerous data privacy and security obligations, such as various state, federal and foreign laws, regulations, guidance, industry standards, external and internal privacy and security policies, contractual requirements and other obligations that govern the processing of personal, sensitive or confidential information by us and on our behalf, and we may be subject to new or additional data protection laws and regulations and face increased scrutiny from regulators as our business grows. The legislative and regulatory landscape for data privacy and security continues to evolve in jurisdictions worldwide, and there has been an increasing focus on these issues with the potential to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Various federal, state, local and foreign legislative and regulatory bodies, or self-regulatory organizations, may expand current laws, rules or regulations, enact new laws, rules or regulations or issue revised rules or guidance regarding data privacy and security that could result in fines or injunctions.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sensitive or confidential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data privacy and security laws, including comprehensive consumer privacy laws, sector-specific privacy laws, consumer protection laws (e.g., Section 5 of the Federal Trade Commission Act), data breach notification laws, laws regarding on-line marketing, and other similar laws (e.g., wiretapping laws). For example, the Health Insurance Portability and Accountability Act of 1996, as amended by the Health Information Technology for Economic and Clinical Health Act of 2009 (HITECH) (collectively, HIPAA), include a privacy rule and security rule that impose among other things, certain requirements relating to the privacy, security, transmission, and breach of individually identifiable health information. We may obtain health information from third parties (including research institutions from which we obtain clinical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data) that are subject to privacy and security requirements under HIPAA. Depending on the facts and circumstances, we could be subject to significant penalties if we violate HIPAA.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Over a dozen states have also passed comprehensive consumer privacy laws, and similar laws are being considered in several other states, as well as at the federal and local levels, some of which we may become subject to. For example, the California Consumer Privacy Act of 2018 (as amended by the California Privacy Rights Act of 2020) (CCPA) imposes obligations on businesses that meet certain thresholds that process the personal information of California residents (including employees based in California). These obligations include, but are not limited to, providing specific disclosures in privacy notices and affording California residents certain rights related to their personal information. The CCPA also provides for fines of up to $7,500 per intentional violation and allows private litigants affected by certain data breaches to recover significant statutory damages. The 2020 amendments to the CCPA also created the California Privacy Protection Agency, a new enforcement agency whose sole responsibility is to enforce the CCPA and is empowered to create new CCPA regulations. In addition to government activity, privacy advocacy groups and technology and other industries continue to consider new or revised self-regulatory standards that may place additional burdens on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United States, the European Union’s General Data Protection Regulation (EU GDPR) and the United Kingdom’s GDPR (UK GDPR) impose strict requirements for processing the personal data of individuals. Among other requirements, the GDPR and UK GDPR (and certain other foreign jurisdictions) regulate the cross- border transfer of personal data, which could make it more difficult for us to transfer information across jurisdictions (such as transferring or receiving personal data that originates in the European Union (EU), or the United Kingdom to countries such as the United States which are not considered by the EU or United Kingdom to provide adequate protection of personal data). In October 2022, the EU-U.S. Data Privacy Framework was implemented, and the European Commission adopted an adequacy decision on July 10, 2023 that set conditions for personal data transfers from the EU to certified companies in the United States without additional safeguards in place. While we strive to adhere to all requirements to transfer information across jurisdictions using safeguards endorsed by government guidance (such as using the Standard Contractual Clauses approved by the European Commission), we must still adapt to changing guidance and will follow any anticipated litigation closely. As the regulatory guidance and enforcement landscape in relation to data transfers continue to develop, we could suffer additional costs, complaints and/or regulatory investigations or fines; we may have to stop using certain tools and vendors and make other operational changes; and/or it could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such changes in the law related to the use of personal information or data could compromise our ability to pursue our growth strategy effectively or even prevent us from providing certain products in jurisdictions in which we currently operate or may operate in the future. Complying with these numerous, complex and often changing regulations is expensive and difficult, and failure to comply with any data privacy or security laws, whether by us, one of our third-party CDMOs, partners or another third party, could adversely affect our business, financial condition, results of operations and prospects and result in expenses which include, but are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data privacy and security laws, we are also bound by contractual obligations related to data privacy and security. We may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assure you that our CROs, CDMOs or other third-party service providers with access to our or our suppliers’, manufacturers’, clinical trial participants’ and employees’ sensitive information for which we are responsible will not breach contractual obligations imposed by us, or that they will not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Our contractual measures and our own privacy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security-related safeguards cannot completely protect us from the risks associated with the third-party processing of such information. Any of the foregoing could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publicly post our privacy policies and practices concerning our collection, use, disclosure and other processing of the personal information provided to us.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dependent on the efficient and uninterrupted operation of our information technology systems, and those systems, or those of our third-party service providers, may be impacted by security incidents, cyberattacks, loss of data and other disruptions, which could adversely impact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increasingly dependent on information technology systems and infrastructure to operate our business. In the ordinary course of business, we collect, store, generate, transfer, and transmit (collectively, “process”) confidential information (such as intellectual property, proprietary business data and patient data). It is critical that we do so in a secure manner to maintain the confidentiality and integrity of such information. We also outsource elements of our information technology systems and operations to third parties (such as vendors, contractors and consultants), and as a result we rely on and take steps designed to manage a number of third parties who have access to and process our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take steps designed to detect, mitigate, and remediate vulnerabilities in our information systems, we may not detect or be able to remediate all such vulnerabilities. Further, we may experience delays in developing and deploying remedial measures and patches designed to address identified vulnerabilities, if at all. Despite the implementation of these security measures, our information technology systems and those of our third-party vendors and other contractors and consultants have been in the past and may be in the future potentially vulnerable to service interruptions, system malfunction, accidents by our employees or third-party service providers, natural disasters, terrorism, war, global pandemics, and telecommunication and electrical failures. We may also experience security incidents from inadvertent or intentional actions by our employees, third-party vendors, contractors, consultants, business partners and/or other third parties, including theft, fraud or unauthorized access to or use of our information technology systems, or attack or damage from hacking, cyberattacks or supply chain attacks by malicious third parties and sophisticated nation-state and nation-state- supported actors, which may compromise our system infrastructure, or that of our third-party vendors and other contractors and consultants, impede our ability to conduct business, delay our financial reporting or lead to data leakage. Any of the above concerns could apply to our third-party suppliers and vendors as well.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risk of a security incident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 implement preventive measures effective against all such security threats. Any breach, loss or compromise of confidential proprietary, or personal information may also subject us to liability,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If the information technology systems of our third-party vendors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remote work may increase the risks to our information technology systems and data, as remotely working employees utilize network connections, computers and devices outside our premises or network, including working at home, while in transit or in public locations.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Disruptions of our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or proprietary business information) and claims by our counterparties that we have failed to comply with legal or contractual obligations, which could result in financial, legal, business, and reputational harm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can be no assurance that the limitations of liability in our contracts would be enforceable or adequate to protect us from liabilities and damage and we may not have adequate insurance coverage to cover losses, or all types of costs, expenses and losses, we could incur with respect to security breaches or disruptions.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reporting requirements applicable to emerging growth companies or smaller reporting companies could make our common stock less attractive to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our Annual Report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be an emerging growth company until December 31, 2029, although circumstances could cause us to lose that status earlier, including if we are deemed to be a “large accelerated filer,” which occurs when the market value of our common stock that is held by non-affiliates equals or exceeds $700.0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Based on the market value of our common stock held by non-affiliates as of June 30, 2026, which exceeded $700.0 million, we expect to cease to be an emerging growth company as of December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 “smaller reporting company” as defined in the Exchange Act. We will continue to be a smaller reporting company if either (i) the market value of our common stock held by non-affiliates is less than $250.0 million, measured as of the last business day of our most recently completed second quarter or (ii) our annual revenue is less than $100.0 million during the most recently completed fiscal year and the market value of our common stock held by non-affiliates is less than $700.0 million. Based on the market value of our common stock held by non-affiliates as of June 30, 2026, which exceeded $700.0 million, we do not expect to continue to qualify as a smaller reporting company following our annual determination. Until this change in status becomes effective, we may continue to rely on exemptions from certain disclosure requirements that are available to smaller reporting companies. Specifically, as a smaller reporting company we may choose to present only the two most recent fiscal years of audited financial statements, we are not required to comply with the auditor attestation requirements of Section 404 of the Sarbanes-Oxley Act and, similar to emerging growth companies, smaller reporting companies have reduced disclosure obligations regarding executive compensation.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in the future, seek to enter into collaborations or other agreements with third parties for the discovery, development and commercialization of product candidates, if approved, and we may not be successful in doing so. If those collaborations are not successful, we may not be able to capitalize on the market potential of BGE-102 and any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in the future seek third-party collaborators for research, development and commercialization of BGE-102 or any future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the amount and timing of resources that our collaborators dedicate to the development or commercialization of our product candidates. Moreover,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generate revenues from these arrangements will depend on our collaborators’ abilities to successfully perform the functions assigned to them in these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Collaborations involving our technology currently pose, and will continue to pose, the following risks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 and may not perform their obligations as expected;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de-emphasize or not pursue development and commercialization of any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any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our product, if approved, relative to other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if approved, commercialization of any product candidates or that result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if approved, commercialization of the applicable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agreements may not lead to development or, if approved, commercialization of product candidates in the most efficient manner or at all;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future collaborator of ours were to be involved in a business combination, the continued pursuit and emphasis on our product development or, if approved, commercialization program could be delayed, diminished or terminated.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Furthermore, even if we receive such payments, they will likely result in payment obligations under license agreements with our licensors, which could be substantial. If we do not receive the funding we expect under these collaboration agreements, or if the funding is substantially offset by payment obligations to our licensors,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 foregoing, our current and any future collaboration agreements may not lead to development or commercialization of our product candidates in the most efficient manner or at all. Moreover, if a collaborator of ours were to be involved in a business combination, the continued pursuit and emphasis on our product development or commercialization program could be delayed, diminished or terminated. Any failure to successfully develop or commercialize our product candidates pursuant to our current or any future collaboration agreements could have a material and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the ability to independently conduct all aspects of our preclinical studies and clinical trials ourselves. As a result, we are dependent on third parties to conduct preclinical studies of certain future product candidates, as well as clinical trials for any future product candidates, as well as potentially preclinical studies of certain future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For example, we expect CROs, independent clinical investigators and consultants to play a significant role in the conduct of these trials and the subsequent collection and analysis of data.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current Good Manufacturing Practices (cGMP) regulations. Our failure or the failure of third parties on whom we rely to comply with these regulations may require us to stop and/or repeat clinical trials, which would delay the regulatory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in a greater cost to us. For example, we are aware of recurrent shortages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 sponsored trials. However, we would not have control over the timing and reporting of the data from investigator-sponsored trials, nor would we own the data from the investigator-sponsored trials. If we are unable to confirm or replicate the results from the investigator- 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 for BGE-102 or any future product candidates and will not be able to, or may be delayed in our efforts to, successfully commercialize our products.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manufacture of pharmaceutical products, including BGE-102 and any future product candidates is complex. Our third-party manufacturers may encounter difficulties in production, which could delay or entirely halt their ability in the future to supply our product candidates for clinical trials or, if approved, for commercial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any manufacturing facilities, and we currently contract with certain third-party manufacturers, which are located in China and India. We rely, and expect to continue to rely, on third parties for the manufacture of our product candidates and related raw materials for preclinical and clinical testing, product development purposes, to support regulatory application submissions, as well as for commercial manufacture if any of our product candidates obtain regulatory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and cause the FDA to withdraw certain designations, including orphan drug designation. For example, we cannot be sure to what extent the supply chain issues caused by geopolitical uncertainty, including the conflicts in Ukraine, Venezuela, Iran, tensions between China and Taiwan and the possibility of a wider Middle Eastern, European or global conflict, the impacts of threatened or imposed tariffs or other trade barriers, and public health epidemics, may impact our ability to procure sufficient supplies for the development of our product candidates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regulatory restrictions or other causes, could impair our ability to operate our business on a day-to-day basis and to continue our development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since some of our third-party manufacturers are located in China and India, we are exposed to the possibility of product supply disruption and increased costs in the event of changes in the policies of the United States, such as the recent imposition of tariffs, or other trade barriers, or actions by the Chinese government, political unrest or unstable economic conditions in China.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BIOSECURE Act, which was signed into law in December 2025 as part of the National Defense Authorization Act for FY 2026, prohibits U.S. federal agencies from entering into or renewing any contract, loan, or grant with any entity that uses “biotechnology equipment or services” produced or provided by a “biotechnology company of concern” to perform that contract, and authorizes the U.S. government to name additional Chinese “biotechnology companies of concern.” The Office of Management and Budget (OMB) of the U.S. government will issue a list of “biotechnology companies of concern,” which will include certain companies that are identified on the U.S. Department of Defense’s annual List of Chinese Military Companies, also known as the 1260H List, other entities which the U.S. government has deemed as such pursuant to a separate designation process, and certain subsidiary, parent and successor entities of the foregoing. There is a safe harbor provision providing that the restrictions do not apply to equipment or services that were formerly but are no longer provided by a “biotechnology company of concern,” as well as a grandfathering provision providing that the prohibitions shall not apply for a five-year period to biotechnology equipment or services produced or provided under a contract or agreement entered into before the applicable effective date. It is unclear whether the grandfathering provision would apply to entities designated as “biotechnology companies of concern” due to their inclusion on the 1260H List. The guidance to be issued by OMB regarding implementation of the BIOSECURE Act may provide further clarity on this point. We are currently party to agreements with WuXi AppTec and its affiliates (WuXi), pursuant to which WuXi provides development and manufacturing services to us. WuXi AppTec was designated on the 1260H List on June 8, 2026. If WuXi or other WuXi affiliates that are or may become contractors of ours are designated as a “biotechnology company of concern” by OMB, we may be restricted in our ability to work with such companies to the extent we would contract with, or otherwise receive funding from, the U.S. government. As a result, we may need to seek alternative CMO relationships. We cannot predict what actions may ultimately be taken with respect to trade relations between the United States and China or other countries, what products and services may be subject to such actions or what actions may be taken by China or the other countries in retaliation. Setting up alternative manufacturing or supplier relationships in other jurisdictions would result in additional costs to the business and will require the time and attention of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unable to enter into additional agreements with third-party manufacturers or suppliers on favorable terms. Our anticipated reliance on a limited number of third party-manufacturers or suppliers exposes us to the following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the third party for product development, analytical testing and data generation to support regulatory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the FDA or other regulatory authority;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breach of the manufacturing agreement by the third party;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carrier disruptions or increased costs that are beyond our control;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deliver our drugs under specified storage conditions and in a timely manner.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Third-party manufacturers may not be able to comply with cGMP regulations or similar regulatory requirements outside of the United States. If the FDA determines that our CDMOs are not in compliance with FDA laws and regulations, including those governing cGMPs, the FDA may not approve a new drug application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CDMOs are subject to continual review and periodic inspections to assess compliance with cGMPs. Furthermore, although we do not have day-to-day control over the operations of our CDMOs, we are responsible for ensuring compliance with applicable laws and regulations, including cGMPs.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we prepare for later-stage clinical trials and potential commercialization, we will need to take steps to increase the scale of production of our product candidates. We have not yet scaled up the manufacturing process for any of our product candidates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performance failure on the part of our existing or future manufacturers could delay clinical development or regulatory approval. If our current CDMOs cannot perform as agreed, we may be required to replace such CDMOs.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In this case, our clinical trials supply could be delayed significantly as we establish alternative supply sources.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third- party manufacturers may experience manufacturing or shipping difficulties due to resource constraints or as a result of natural disasters, labor disputes, unstable political environments or public health epidemics.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and anticipated future dependence upon others for the manufacture of our product candidates or products may adversely affect our future profit margins and our ability to commercialize any products that obtain regulatory approval on a timely and competitive basis.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or any contract manufacturers or suppliers we engage, fail to comply with environmental, health and safety laws and regulations, we could become subject to fines or penalties or incur costs that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our third-party contractors are subject to numerous federal, state, local and foreign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leasing and operation of real property may subject us to liability pursuant to certain of these laws or regulations. Under existing United States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do not obtain patent term extension for any product candidates we may develop, our business may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upon the timing, duration and specifics of any FDA regulatory approval of BGE-102 and any other product candidates we may develop and our technology, our U.S. patents or one or more U.S. patents that may issue in the future based on a patent application that we license or own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terms may be insufficient to protect our competitive position on BGE-102 and any future product candidates for an adequate amount of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filing date. Various patent term adjustments or extensions may be available, but the life of a patent, and the protection it affords, is limited. Even if patents covering BGE-102 or any future product candidates are obtained, once the patent life has expired, we may be open to competition from competitive products, including generics.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identical or similar to ours.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be due to be paid to the U.S. Patent and Trademark Office (USPTO) and various governmental patent agencies outside of the United States in several stages over the lifetime of the patents and/or applications. We have systems in place to remind us to pay these fees, and we employ an outside firm and/or rely on our outside counsel to pay these fees due to the USPTO and non-U.S. governmental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U.S. patent and ex-U.S. patent laws could diminish the value of patents in general, thereby impairing our ability to protect our current or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and enforce our intellectual property rights.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example,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 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review, and derivation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patent positions of companies in the development and commercialization of pharmaceuticals and biologics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effect on our patent rights and our ability to protect, defend and enforce our patent rights in the future. For example, in the case, Assoc. for Molecular Pathology v. Myriad Genetics, Inc., the U.S. Supreme Court held that claims to certain DNA molecules are not patentable. In Amgen Inc. v. Sanofi, the Federal Circuit held that claims with functional language may face high hurdles in fulfilling the enablement requirement. Recent decisions raise questions regarding the award of patent term adjustment (PTA) for patents where related patents have been issued without a PTA. Thus, it cannot be said with certainty how PTA will or will not be viewed in future and whether patent expiration dates may be impacted. We cannot predict how this and future decisions by the courts, the U.S. Congress or the USPTO may impact the value of our patents. Any similar adverse changes in the patent laws of other jurisdictions could also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name recognition in our markets of interest and our business may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any name we have proposed to use with our therapeutic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develop products that are similar to our product candidates but that are not covered by the claims of the patents that we own or license;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or collaborators might not have been the first to make the inventions covered by the issued patents or patent application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or collaborators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the pending patent applications we own or license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own or license may be held invalid or unenforceable, as a result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fail to adequately protect and police our trademarks and trade secrets;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covering such 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Should any of these events occur, it could significantly harm our business, financial condition, results of operations and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Our rights to develop and commercialize any future products as well as our lead product candidate, BGE-102, are or may be subject to the terms and conditions of license agreements.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 the past licensed, and may in future license, certain patent rights and proprietary technology from third parties that are important or necessary to the development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Out-license agreements we may enter into in the future may include exclusivity terms limiting our ability to develop product candidates that may compete with the relevant licensed target or product. If such exclusivity restrictions prevent us from developing or commercializing our technologies in a way that we deem necessary to gain or maintain our competitive advantage, it may have a material adverse effect on our competitive position, business, financial conditions,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have complete control in the preparation, filing, prosecution, maintenance, enforcement and defense of patents and patent applications covering the technology that we license from third parties.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Any of these events could have a material adverse effect on our competitive position, business, financial conditions,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breach our license agreements it could have a material adverse effect on our commercialization efforts for BGE-102 or any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 the past and may in the future enter into license agreements with third parties under which we license the use, development and commercialization rights to current or future product candidates or technology from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intellectual property license agreements may require us to comply with various obligations, including diligence obligations such as development and commercialization obligations, as well as potential royalty and milestone payments and other obligations. If we fail to comply with our obligations under any of these license agreements, use the licensed intellectual property in an unauthorized manner, we are subject to bankruptcy- related proceedings or otherwise materially breach any of these license agreements, the terms of the license granted may be materially modified, such as by rendering currently exclusive licenses non-exclusive, or it may give our licensors the right to terminate the applicable license agreement, in whole or in part. Generally, the loss of or termination of our rights under any licenses we may acquire in the future, could harm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result in termination of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product candidates incorporating the relevant 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a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right to sublicense patent and other intellectual property rights to third parties under collaborative development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product candidates,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calculation of total payment amount due if we develop multiple products under the license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right to transfer or assign the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inventors are able to contest the assignment of their rights to our licensors.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disputes over intellectual property that we have licensed or license in the future prevent or impair our ability to maintain our current licensing arrangements on acceptable terms or at all, we may be unable to successfully develop and commercialize the affected product candidates, which could have material adverse effect on our business.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 Further, certain of our future license agreements with third parties may limit or delay our ability to consummate certain transactions, may impact the value of those transactions or may limit our ability to pursue certain activities (e.g., we may in the future enter into license agreements that are not assignable or transferable, or that require the licensor’s express consent in order for an assignment or transfer to take 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Third-party claims of intellectual property infringement may prevent or delay our product discovery and development efforts.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color w:val="000000"/>
          <w:sz w:val="20"/>
        </w:rPr>
        <w:t xml:space="preserve">inter partes </w:t>
      </w:r>
      <w:r>
        <w:rPr>
          <w:rFonts w:ascii="Times New Roman" w:hAnsi="Times New Roman"/>
          <w:color w:val="000000"/>
          <w:sz w:val="20"/>
        </w:rPr>
        <w:t xml:space="preserve">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that may be relevant to our product candidates. Thus, because of the large number of patents issued and patent applications filed in our fields, there may be a risk that third parties may allege they have patent rights encompassing our future product candidates, technologies or methods. If any such patent were to be asserted against us, we may have defenses against any such action, including that these patents would not be infringed by our future product candidates and/or that these patents are not valid. However, if these patents were asserted against us and our defenses to such an action were unsuccessful, unless we obtain a license to these patents, which may not be available on commercially reasonable terms, or at all, we could be liable for damages and precluded from commercializing any future product candidates, which could have a material adverse effect on our business, financial condition, cash flows or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third-party claims that we infringe its intellectual property rights, we may face a number of issues,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infringement and other intellectual property claims which, regardless of merit, may be expensive and time-consuming to litigate and may divert our management’s attention from our core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court prohibiting us from developing, manufacturing, marketing or selling our product candidates, or from using our proprietary technologies, unless the third party licenses its product rights to us, which it is not required to do;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license is available from a third party, we may have to pay substantial royalties, upfront fees and other amounts, and/or grant cross-licenses to intellectual property rights for our products, if 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redesigning our product candidates or processes so they do not infringe, which may not be possible or may require substantial monetary expenditures and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Generally, conducting clinical trials and other development activities in the United States is protected under the Safe Harbor exemption as set forth in 35 U.S.C. § 271. If and when BGE-102 or any future product candidate is approved by the FDA, a certain third party may then seek to enforce its patent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molecules used in or formed during the manufacturing process, or the product candidate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manufacturing process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any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Lastly, we may need to indemnify our customers and distributors against claims relating to the infringement of intellectual property rights of third parties related to our current and future product candidates, including BGE-102.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if approved, or services.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have pending patent applications in the United States and other countries, filing, prosecuting, maintaining, enforcing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patent protection,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Third-party claims of intellectual property infringement, misappropriation or other violations against us or our collaborators could be expensive and time consuming and may prevent or delay the development and commercialization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Such challenges may result in loss of exclusivity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As discussed above, recently, due to changes in U.S. law referred to as patent reform, new procedures including inter partes review and post-grant review have also been implemented. As stated above, this reform adds uncertainty to the possibility of challenge to our patent rights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Numerous U.S. and foreign issued patents and pending patent applications owned by third parties exist in the fields in which we may plan to commercialize BGE-102 or any future product candidates. As the biotechnology and pharmaceutical industries expand and more patents are issued, and as we gain greater visibility and market exposure as a public company, the risk increases that BGE-102 or any future product candidates, and commercializing activities may give rise to claims of infringement of the patent rights of others. We cannot assure you that BGE-102 or any future product candidates will not infringe existing or future patents owned by third parties. We may not be aware of patents that have already been issued for which a third party, such as a competitor in the fields in which we are developing BGE-102 or any future product candidates, might accuse us of infringing.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BGE-102 and any future product candidates. As such, we monitor third-party patents in the relevant pharmaceutical markets. In addition, because patent applications can take many years to issue, there may be currently pending patent applications that may later result in issued patents that we may infringe.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or our licensors may be subject to claims that former employees, consultants, collaborators or other third parties have an interest in our patent rights, any potential trade secrets, or other intellectual property as an inventor, co-inventor or owner of any potential trade secrets.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any potential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 party claims or litigation alleging infringement of patents or other proprietary rights, or seeking to invalidate our patents or other proprietary rights, may delay or prevent the development and commercialization of our current or future product candidates or technologies.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commercial success depends in part on our avoiding infringement and other violations of the patents and proprietary rights of third parties. The intellectual property landscape around obesity and cardiometabolic diseases drug development is highly dynamic and there is a substantial amount of litigation, both within and outside the United States, involving patent and other intellectual property rights in the biopharmaceutical industry. Potential litigation could include patent infringement lawsuits, derivation and administrative law proceedings, </w:t>
      </w:r>
      <w:r>
        <w:rPr>
          <w:rFonts w:ascii="Times New Roman" w:hAnsi="Times New Roman"/>
          <w:i/>
          <w:color w:val="000000"/>
          <w:sz w:val="20"/>
        </w:rPr>
        <w:t xml:space="preserve">inter partes </w:t>
      </w:r>
      <w:r>
        <w:rPr>
          <w:rFonts w:ascii="Times New Roman" w:hAnsi="Times New Roman"/>
          <w:color w:val="000000"/>
          <w:sz w:val="20"/>
        </w:rPr>
        <w:t>review and post-grant review before the USPTO, as well as oppositions and similar processes in foreign jurisdictions. As the fields of treating obesity and cardiometabolic diseases continue to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 Also, there may be third 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or technologies may infringe.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Defense of third-party claims of patent infringement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third parties may obtain patent rights in the future and claim that use of our product candidates or other technologies infringe upon these rights. If any third-party patents were held by a court of competent jurisdiction to cover our product candidates, or any aspect of their manufacture or use, the holders of any such patents may be able to block our ability to commercialize such product candidate or technology unless we obtain a license under the applicable patents, or until such patents expire.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affected products or technologies, which may be impossible or require substantial time and monetary expenditure. We cannot predict whether any such license would be available at all or whether it would be available on commercially reasonable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scope of a patent claim is a legal determination made by the courts. It is informed by the written disclosure of a patent, the patent’s prosecution history, and other intrinsic and extrinsic factors. Our interpretation of a patent claim may not be adopted during a patent litigation alleging infringement by our products. If a court does not adopt our claim interpretation and determines that our product candidates are covered by a third-party patent, we may be held liable for damages. Similarly, we may incorrectly predict whether a third-party patent application will issue with claims that cover one or more of our product candidates. If our claim interpretations are not adopted by the USPTO during prosecution of a third-party patent application, or by a court in a patent infringement dispute, our ability to develop and market our product candidates may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we, or one of our licensors, may have to participate in post-grant challenge proceedings, such as oppositions in a foreign patent office, that challenge priority of invention or other features of patentability. If we or our licensors are unsuccessful in any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licenses from third parties, including parties involved in any such proceedings. If we are unable to obtain such licenses, we may need to cease the development, manufacture and commercialization of one or more of the product candidates or technologies we may develop. The loss of exclusivity or the narrowing of our patent claims could limit our ability to stop others from using or commercializing similar or identical technology and product candidates. Even if we or our licensors are successful in such a proceeding, it could result in substantial costs and be a distraction to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patent landscape is crowded and highly competitive. Numerous third-party United States and foreign issued patents and pending patent applications exist in the fields in which we are developing product candidates, and they may assert infringement claims against us based on existing patents or patents that may be granted in the future, regardless of their merit. Ongoing research and development is taking place by several companies, universities, and other institutions.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publication timelines. We cannot guarantee that any patent searches we may conduct are complete or thorough enough to identify every third-party patent and pending application in the United States and/or abroad that is relevant to or necessary for the development and commercialization of our product candidates in any country.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fail to obtain any of these licenses at a reasonable cost or on reasonable terms, if at all. In that event, we may be unable to further develop and commercialize one or more of our product candidates, which could harm our business significantly. We cannot provide any assurances that third party patents do not exist which might be enforced against our product candidates resulting in either an injunction prohibiting our sales, or, with respect to our sales, an obligation on our part to pay royalties or other forms of compensation to third parties.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obtain and maintain patent protection or other necessary rights of our current or future product candidates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success is dependent in part on our ability to obtain and maintain proprietary or intellectual property protection in the United States and other countries for our current product candidates or any future product candidates,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obesity and cardiometabolic disease drug development. Additionally, we intend to utilize regulatory protection afforded through rare drug designations, data exclusivity and market exclusivity as well as patent term extensions, where available.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patent position of biotechnology and biopharmaceutical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twenty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 of discoveries in the scientific literature lags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our current or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Even if we acquire patent protection that we expect should enable us to maintain competitive advantage, the issuance of a patent is not conclusive as to its inventorship, scope, validity or enforceability. Third parties, including former employees, consultants, collaborators and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 party submission of prior art to the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hAnsi="Times New Roman"/>
          <w:i/>
          <w:color w:val="000000"/>
          <w:sz w:val="20"/>
        </w:rPr>
        <w:t xml:space="preserve">inter partes </w:t>
      </w:r>
      <w:r>
        <w:rPr>
          <w:rFonts w:ascii="Times New Roman" w:hAnsi="Times New Roman"/>
          <w:color w:val="000000"/>
          <w:sz w:val="20"/>
        </w:rPr>
        <w:t>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regulatory exclusivities may be available, however, the scope of such regulatory exclusivities is subject to change, and may not provide us with adequate and continuing protection sufficient to exclude others from commercializing products similar to our product candidates.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Disruptions at the FDA, the SEC and other government agencies or comparable regulatory authorities caused by, among other factors, funding shortages or global health concerns could occur at any time. In addition, there is substantial uncertainty regarding new initiatives under the new Administration and how these might impact the FDA, its implementation of laws, regulations, policies, and guidance, and its personnel. Similar initiatives may also be directed towards other agencies. These disruptions could hinder government agencies' ability to hire, retain or deploy key leadership and other personnel, otherwise prevent new products and services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ability of the FDA or other regulatory authorities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or comparable foreign regulatory authorities’ ability to perform routine functions. In addition, government funding of the SEC, and other government agencies or comparable foreign regulatory authorities on which our operations may rely, including those that fund research and development activities is subject to the political process, which is inherently fluid and unpredictable.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Disruptions at the FDA or other regulatory authorities may also slow the time necessary for new drugs to be reviewed and/or approved, which would adversely affect our business. For example, starting in January 2025, the current Administration has reduced the number of federal employees, including at FDA, by establishing voluntary termination programs, by position eliminations or by involuntary terminations. Changes in FDA staffing could result in delays in the FDA’s responsiveness or in its ability to review submissions or applications, issue regulations or guidance, or implement or enforce regulatory requirements in a timely fashion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Similar consequences may also occur as a result of a significant shutdown of the federal government. For example, over the last several years, and most recently in early 2026, the U.S. government has shut down several times and certain regulatory agencies, such as the FDA and the SEC, had to furlough critical employees and stop critical activities. If a prolonged government shutdown occurs, or if geopolitical or global health concerns prevent the FDA or other regulatory authorities from conducting their regular inspections, reviews, or other regulatory activities, or if the volume of applications to the FDA for new product candidates increases materially, it could significantly impact the ability of the FDA or other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If the FDA is constrained in its ability to engage in oversight and implementation activities in the normal course, our business may be negatively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FDA-regulated industries, such as ours, face substantial uncertainty in regard to the regulatory environment we will face under the current Administration as we proceed with research and development efforts and potential future commercialization. Some of these efforts have manifested to date as efforts to reduce the size of the federal government, including large-scale reductions in force at the FDA. The loss of key personnel at the FDA, including those in leadership positions, is likely to impact operations at the FDA, which could result in, among other things, delays or limitations on our ability to obtain guidance from the FDA on our product candidates in development, longer review times, and delays in obtaining the requisite regulatory approvals for our product candidates. Moreover, the current Administration paused payments by, reduced the budget of, and terminated grants provided by the National Institutes of Health (NIH) as related to its funding for medical research, which has decreased, and may continue to decrease, the ability of facilities that rely on NIH funding to enroll and conduct clinical trials or increase the costs to us of conducting clinical trials. Some of these actions have been challenged in court and there remains general uncertainty regarding future activities. The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as a result of the Administration, there could be a material adverse effect on us and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three decisions from the U.S. Supreme Court in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regulatory agencies’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decisions, which may vary within different judicial districts and circuits, is unknown. We also cannot predict the extent to which FDA and SEC regulations, policies, and decisions may become subject to increasing legal challenges, delays, and changes.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Existing, recently enacted and future legislation may increase the difficulty and cost for us to obtain regulatory approval of and commercialize our product candidates and decrease the prices we may obtain.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regarding the healthcare system that could prevent or delay regulatory approval of our product candidates, restrict or regulate post-approval activities and affect our ability to profitably sell any products for which we obtain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there have been and continue to be a number of legislative initiatives to contain healthcare costs, including costs of pharmaceuticals. There has been heightened governmental scrutiny over the manner in which manufacturers set prices for their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reduce the costs of drugs under Medicare and Medicaid, and reform government program reimbursement methodologies for drug products. For example, on August 2, 2011, the Budget Control Act of 2011 imposed, subject to certain temporary suspension periods, 2% reductions in Medicare payments to providers per fiscal year starting April 1, 2013 and, due to subsequent legislative amendments to the statute, will remain in effect through 2032, unless additional Congressional action is taken. In December 2020, the Centers for Medicare &amp; Medicaid Services (CMS) issued a final rule implementing significant manufacturer price reporting changes under the Medicaid Drug Rebate Program, including an alternative rebate calculation for line extensions that is tied to the price increases of the original drug, and Best Price reporting related to certain value-based purchasing arrangements. Under the American Rescue Plan Act of 2021, effective January 1, 2024, the statutory cap on Medicaid Drug Rebate Program rebates that manufacturers pay to state Medicaid programs is eliminated. Elimination of this cap has, in some cases, require pharmaceutical manufacturers to pay more in rebates than they receive on the sale of products. In 2024, CMS issued a final rule that decreased Medicare reimbursement for physician services by 2.8%, effective January 1, 2025. If federal spending is further reduced, anticipated budgetary shortfalls may also impact the ability of relevant agencies, such as the FDA,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Several healthcare reform initiatives culminated in the enactment of the Inflation Reduction Act (the IRA) in August 2022, which, among other things, allows the United States Department of Health and Human Services (HHS) to directly negotiate the selling price of a statutorily specified number of drugs and biologics each year that CMS reimburses under Medicare Part B and Part D. The negotiated price may not exceed a statutory ceiling price. Only high-expenditure single-source drugs that have been approved for at least 7 years (11 years for single-source biologics) are eligible to be selected for negotiation by CMS,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In addition, CMS has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The IRA also imposes rebates on Medicare Part D and Part B drugs whose prices have increased at a rate greater than the rate of inflation and in November 2024, CMS finalized regulations for these inflation rebates.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limit, and 20% once the out-of-pocket limit has been reached.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began taking effect progressively starting in 2023 and may be subject to legal challenges. For example, the provisions related to the negotiation of selling prices of high-expenditure single-source drugs and biologics have been challenged in multiple lawsuits brought by pharmaceutical manufacturers. The outcome of these lawsuits is uncertain, and some IRA drug discount provisions have not been challenged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litigation. Thus, while it is unclear how the IRA will be implemented, it will likely have a significant impact on the pharmaceutical industry and the pricing of BGE-102 or any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current Administration is pursuing policies to reduce regulations and expenditures across government including at HHS, which include the FDA and CMS, and related agencies. These actions included, for example, directives to reduce agency workforce, which include the FDA and CMS, and related agencies. In addition, on May 12, 2025, President Trump issued an Executive Order that, among other things, required HHS, within 30 days, to establish and communicate to drug manufacturers most favored nation (MFN) price targets designed to bring drug prices for American patients in line with those in comparably developed nations. If significant progress towards MFN pricing is not achieved, the Executive Order requires HHS to propose a rulemaking to implement MFN pricing. In December 2025, CMS issued proposed regulations to establish, under the Center for Medicare and Medicaid Innovation (CMMI), two mandatory MFN demonstration models under Medicare Parts B and D, respectively. Further, as part of the Make America Healthy Again (MAHA) Commission’s recent Strategy Report, the administration is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state level, legislatures are increasingly enacting laws and implementing regulations designed to control pharmaceutical and biological product pricing, including restrictions or prohibitions on certain marketing practices, reporting of specified categories of remuneration provided to health care practitioners, and reporting and justification of price increases greater than a specified level. In some cases, states have designed programs to encourage importation from other countries and bulk purchasing, though the federal government has not yet approved any such plans. For example, the FDA released a final rule in 2020 providing guidance for states to build and submit importation proposals for drugs from Canada, and the FDA authorized the first such plan in Florida in 2024 but implementation of Florida’s plan has been extended. We expect that additional state and federal healthcare reform measures will be adopted in the future, any of which could limit the amounts that federal and state governments will pay for pharmaceuticals and other healthcare products and services, which could result in reduced demand for BGE-102 or any future product candidates or additional pricing pressures.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insurance coverage and reimbursement status of newly approved products are uncertain. Failure to obtain or maintain coverage and adequate reimbursement for any future products could limit our ability to market those products and decrease our ability to generate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our product candidates, if approved, will depend, in part, on the extent to which such products will be covered by third-party payors, such as government health care programs, commercial insurance and managed healthcare organizations. These third-party payors are increasingly limiting coverage and/or reducing reimbursements for medical products and services. A third-party payor’s decision to provide coverage for a drug product does not imply that an adequate reimbursement rate will be approved. Even if coverage is provided, the approved reimbursement amount may not be high enough to allow us to establish or maintain pricing sufficient to realize a sufficient return on our investment. Further, one payor’s determination to provide coverage for a drug product does not ensure that other payors will also provide coverage for the drug product. Coverage policies and third-party payor reimbursement rates may change at any time.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There is significant uncertainty related to the insurance coverage and reimbursement of newly approved products. In the United States, the principal decisions about reimbursement for new medicines are typically made by the CMS as CMS decides whether and to what extent a new medicine will be covered and reimbursed under Medicare. Private payors often, but not always, follow CMS’s decisions regarding coverage and reimbursement. Decreases in third-party payor reimbursement or a decision by a third-party payor to not cover any of our product candidates, if approved, could reduce physician usage of our product candidates, and have a material adverse effect on our sales, results of operations and financial condition. We may need to conduct expensive pharmacoeconomic studies in order to demonstrate the medical necessity and cost-effectiveness of our products, in addition to the costs required to obtain FDA approvals. Nonetheless, our product candidates may not be considered medically necessary or cost-effective.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operations and relationships with healthcare providers, healthcare organizations, customers and third- 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and future arrangements with healthcare providers, healthcare organizations, third-party payors and customers expose us to broadly applicable anti-bribery, fraud and abuse and other healthcare laws and regulations that may constrain the business or financial arrangements and relationships through which we research, market, sell and distribute any of our product candidates, if approved. Restrictions under applicable federal and state anti-bribery and healthcare laws and regulations,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and state healthcare program such as Medicare and Medicaid. The term remuneration has been broadly interpreted to include anything of value. A person or entity does not need to have actual knowledge of the statute or specific intent to violate it in order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criminal and civil false claims and civil monetary penalties laws, including the federal False Claims Act, which can be enforced through civil whistleblower or qui tam actions against individuals or entities, and the Federal Civil Monetary Penalties Law,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and its implementing regulations,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as amended by HITECH, and their respective implementing regulations, which impose obligations on certain healthcare providers, health plans, and healthcare clearinghouses, known as covered entities, as well as their business associates that perform certain services involving the storage, use or disclosure of individually identifiable health information for or on behalf of a covered entity and their covered subcontractors,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Physician Payments Sunshine Act, which requires certain manufacturers of covered drugs, devices, biologics and medical supplies that are reimbursable under Medicare, Medicaid, or the Children’s Health Insurance Program, with certain exceptions, to report annually to CMS information related to certain payments and other transfers of value to physicians (defined to include doctors, dentists, optometrists, podiatrists and chiropractors), certain other health care professionals (such as physician assistants and certain advance practices nurses), and teaching hospitals, as well as ownership and investment interests held by the physicians described above and their immediate family members, with the information made publicly available on a searchable website;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Foreign Corrupt Practices Act which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that may apply to sales or marketing arrangements and claims involving healthcare items or services reimbursed by non-governmental third-party payors, including private insurers;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state laws that require biopharmaceutical companies to comply with the biopharmaceutical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biopharmaceutical sales representatives.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any of which could adversely affect our financial results.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For example, even if the FDA grants regulatory approval of a product candidate, comparable regulatory authorities in foreign jurisdictions must also approve the manufacturing, marketing and promotion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regulatory approvals, our target market will be reduced and our ability to realize the full market potential of our product candidates will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Adverse side effects or other safety risks associated with BGE-102 or any future product candidates we may develop could delay or preclude approval, cause us to suspend or discontinue clinical trials or abandon further development, change the design of our clinical trials, limit the commercial profile of an approved product, or result in significant negative consequences following regulatory approval, if 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is the case with small molecules generally, it is likely that there may be adverse side effects associated with the use of BGE-102 or any future product candidates. For example, in December 2024, we announced the discontinuation of our Phase 2 clinical trial of our former lead product candidate azelaprag following observation of liver transaminitis without clinically significant symptoms in some subjects receiving azelaprag. Future clinical trials may reveal significant adverse events not seen in our preclinical studies or prior clinical trials and may result in a safety or tolerability profile that could delay or prevent regulatory approval or market acceptance of BGE-102 or any future product candidates. Undesirable or clinically unmanageable side effects observed in our clinical trials for our product candidates could occur and cause us or regulatory authorities to interrupt, delay or halt our clinical trials and could result in more restrictive labeling than anticipated or the delay or denial of regulatory approval by the FDA or other regulatory authorities. If additional adverse events, serious adverse events (SAEs) or other side effects are observed in any of our clinical trials that are atypical of, or more severe than, the known side effects of the respective class of agents that each of our product candidates are a part of, we may have difficulty recruiting participants to our clinical trials, participants may drop out of our trials, or we may be required to abandon those trials or our development efforts of one or more product candidates altogether.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 Undesirable or clinically unmanageable side effects observed in our clinical trials for our product candidates could also occur following discontinuation of azelaprag or any future product candidates with sufficient recovery periods, and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future product candidates, which could result in the delay or denial of regulatory approval by the FDA or other regulatory authorities. Adverse events and SAEs that emerge during clinical investigation of or treatment with BGE-102 or any future product candidates may be deemed to be related to our product candidates. 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For example, in January 2025, we terminated development of azelaprag, an orally available small-molecule agonist of APJ, for obesity and other chronic diseases.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decision followed observations of liver transaminitis without clinically significant symptoms, and without clear dose dependence, in some patients in the azelaprag arms of the STRIDES Phase 2 clinical trial for obesity. This may require longer and more extensive clinical development, or regulatory authorities may increase the amount of data and information required to approve, market or maintain approval for BGE-102 or any future product candidates and could result in warnings and precautions in our product labeling or a restrictive REMS. This may also result in an inability to obtain approval of BGE-102 or any future product candidates. We, the FDA or other regulatory authorities or an IRB or ethics committee may suspend clinical trials of a product candidate at any time for various reasons, including a belief that participants in such trials are being exposed to unacceptable health risks or adverse side effects. Even if the side effects do not preclude the product candidate from obtaining or maintaining regulatory approval, undesirable side effects may inhibit market acceptance of the approved product due to its tolerability versus other therapies. Further, it is possible that, as we test our product candidates in larger, longer and more extensive clinical trials, including with different dosing regimens, or as the use of our drug candidates becomes more widespread following any regulatory approval, illnesses, injuries, discomforts and other adverse events that were observed in earlier trials, as well as conditions that did not occur or went undetected in previous trials, will be reported by patients. Any of these developments could materially harm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conduct future clinical trials at sites outside the United States. The FDA may not accept data from trials conducted in such locations, and the conduct of trials outside the United States could subject us to additional delays and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acceptance by the FDA or other regulatory authorities of trial data from clinical trials conducted outside their jurisdiction may be subject to certain conditions or may not be accepted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Where foreign clinical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Conducting clinical trials outside the U.S. also exposes us to additional risks, including risks associated with: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foreign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foreign manufacturing, customs, shipment and storage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cultural differences in medical practice and clinical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diminished protection of intellectual property in some countries;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interruptions or delays in our trials resulting from geopolitical events, such as war or terrorism.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U.S. and foreign anti-corruption, anti-money laundering, export control, sanctions and other trade laws and regulations prohibit, among other things, companies and their employees, agents, CROs, CDMOs, legal counsel, accountants, consultants, contractors and other partners from authorizing, promising, offering, providing, soliciting, or receiving directly or indirectly, corrupt or improper payments or anything else of value to or from recipients in the public or private sector. Export control and sanctions laws may also prohibit or limit our ability to sell or provide our drug candidates to embargoed countries, regions, governments, persons and entities.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prevent or delay an acquisition of us, which may be beneficial to our stockholders, and may prevent attempts by our stockholders to replace or remove our current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classified board of directors so that not all members of our board of directors are elected at one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permit only the board of directors to establish the number of directors and fill vacancies on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directors may only be removed “for cause” and only with the approval of two-thirds of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super-majority voting to amend some provisions in our restated certificate of incorporation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the issuance of “blank check” preferred stock that our board of directors could use to implement a stockholder rights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prohibit cumulative voting;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directors, officers, other employees, agents, and the underwriters to any offering giving rise to such complaint, and any other professional person or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 price of our common stock is likely to be highly volatile, and you could lose all or part of your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price of our common stock is likely to continue to be highly volatile and subject to wide fluctuations in response to various factors, some of which we cannot control. As a result of this volatility, investors may not be able to sell their common stock at or above the price initially paid for the stock. The market price for our common stock may be influenced by many factors, including the other risks described in this “Risk Factors” section and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preclinical studies and clinical trials of any product candidates, or those of our competitors or our existing or future collaborators or licensing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enrollment status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United States or other countries, especially changes in laws or regulations applicable to any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or failure of competitive products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introductions and announcements of new product candidates by us, any future commercialization partners, or our competitors, and the timing of these introductions or announcements;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actions taken by regulatory agencies with respect to any product candidates, clinical studies, and, if approved, manufacturing process or sales and marketing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variations in our financial results or those of companies that are perceived to be similar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our efforts to acquire or in-license additional technologies 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concerning any future collaborations, including but not limited to those with development and commercialization partners if any product candidates are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any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or inability to raise additional capital and the terms on which we are able to raise it,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earnings estimates, development timelines or changes in stock market analyst recommendations regarding our common stock, other comparable companies or our industry generally;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or the failure of our competitors to meet analysts’ projections or guidance that we or our competitors may give to the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and expectation of additional financing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of trading volume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shares of our common stock by us, insiders or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concentrated ownership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actions instituted by activist stockholders or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terrorist acts, acts of war or periods of widespread civil unrest;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disasters and other calamities, including global pandemics such as the COVID-19 pandemic;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industry and market conditions, including fluctuating interest rates and inflation.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currently intend to pay dividends on our common stock and, consequently, our stockholders’ ability to achieve a return on their investment will be dependent on appreciation of the value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be dependent on increases in the value for our common stock, which is not certain. There is no guarantee that shares of our common stock will appreciate in value or even maintain the price at which stockholders have purchased their shares.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securities analysts publish about us or our business. We do not have any control over the industry or securities analysts, or the content and opinions included in their reports. If no or few securities or industry analysts continue or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sale of a substantial number of shares of our common stock may cause the price of our common stock to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If our stockholders sell, or the market perceives that our stockholders intend to sell in the public market the market price of our stock could decline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we have filed a registration statement (the “Resale Registration Statement”) registering the resale of up to 2,227,124 shares of our common stock, by certain of our stockholders. Sales of our common stock as certain restrictions end or pursuant to registration rights may make it more difficult for us to sell equity securities in the future at a time and at a price that we deem appropriate. These sales also could cause the trading price of our common stock to fall and make it more difficult for you to sell shares of our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at a time and price that you deem appropriate. We also have registered shares of common stock that we may issue under our equity incentive plans. These shares are freely tradeable in the public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of our common stock or other securities convertible into shares of our common stock, our stockholders will be diluted. These sales, or the perception in the market that the holders of a large number of shares intend to sell shares of our common stock, could reduce the market price of our common stock.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current in-person operations are located in Emeryville, California, and we or the third parties on whom we depend may be adversely affected by natural disasters, terrorist activity, pandemics, geo-political actions in the United States and in foreign countries, and other events beyond our control, and our business continuity and disaster recovery plans may not adequately protect us from a serious disaster. 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are currently a remote-based company with a majority of our employees working remotely, our current in-person operations are located in our research facility in Emeryville, California. Any unplanned event, such as flood, fire, explosion, earthquake, extreme weather condition, pandemic, medical epidemic, power shortage, telecommunication failure or other natural or manmade accidents or incidents that result in us being unable to fully utilize our facilities, or the manufacturing facilities of our CDMOs may have a material and adverse effect on our ability to operate our business and have significant negative consequences on our financial and operating conditions. If our facilities, or the manufacturing facilities of our CDMOs, are unable to operate because of an accident or incident or for any other reason, including an inability to use all or a significant portion of our headquarters, damages to critical infrastructure, such as our research facilities or the manufacturing facilities of our CDMOs, or other disruptions to operations, even for a short period of time, any or all of our research and development programs may be harmed. Any business interruption could have a material and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employees often conduct business outside of any facilities leased by us. These locations may be subject to additional security and other risk factors due to the limited control of our employees.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Unstable market and economic conditions and adverse developments affecting the financial services industry, such as actual events or concerns involving inflation, liquidity, defaults or nonperformance by financial institutions or transactional counterparties, could adversely affect our current and projected business operations, and our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tariffs, inflation, a potential recession, potential government shutdowns, uncertainty with respect to federal policy, regulations and employment, military conflict, terrorism or other geopolitical events, such as the conflicts in Ukraine, Venezuela, Iran, tensions between China and Taiwan and the possibility of a wider Middle Eastern, European or global conflict. Sanctions or tariffs imposed by the United States and other countries in response to such conflicts may also adversely impact the financial markets and the global economy, and any economic countermeasures by the affected countries or others could exacerbate market and economic instability. In addition, adverse developments that affect financial institutions, such as events involving liquidity that are rumored or actual, have in the past and may in the future lead to market-wide liquidity problems. For example, in March 2023, Silicon Valley Bank (SVB), one of our banking partners, was closed by the California Department of Financial Protection and Innovation, which appointed the Federal Deposit Insurance Corporation (FDIC) as receiver. We previously kept substantially all of our cash, cash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equivalents and marketable securities with SVB, the substantial majority of which was held in a custodial account with another institution, for which SVB Asset Management was the advisor. While we were afforded full access to our cash, cash equivalents and marketable securities with SVB, we may be impacted by other disruptions to the U.S. banking system, including potential delays in our ability to transfer funds whether held with SVB or otherwise. The closure of any additional national or regional commercial banks could lead to further economic instability. Although the Department of the Treasury, the Federal Reserve and the FDIC have taken steps to mitigate these risks, widespread demands for customer withdrawals or other liquidity needs of financial institutions for immediate liquidity may still occur in the future. We regularly maintain cash balances at third-party financial institutions in excess of the FDIC insurance limit and there is no guarantee that the federal government would provide access to uninsured funds in the future in the event of the closure of other banks or financial institutions, or that they would do so in a timely fashion.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rapid increases in interest rates have led to a decline in the trading value of previously issued government securities with interest rates below current market interest rates.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if any of our suppliers or other parties with whom we conduct business are unable to access funds pursuant to such instruments or lending arrangements with any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will incur significant increased costs as a result of operating as a public company, and our management will be required to devote substantial time to new compliance initiatives and corporate governance practices.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public company, and particularly after we are no longer an emerging growth company or smaller reporting company, we will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If these requirements divert the attention of our management and personnel from other business concerns, they could have a material adverse effect on our business, financial condition, and results of operations.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will decrease our net income or increase our net loss, and the increased costs may require us to reduce costs in other areas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securities litigation, which is expensive and could divert management attention.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 price of our common stock has been and is likely to remain volatile. Companies that have experienced volatility in the market price of their common stock are often subject to securities class action litigation. For example, on January 7, 2025, a securities class action complaint was filed against us, and certain of our officers and/or directors in the U.S. District Court for the Northern District of California. This or any future securities litigation brought by private parties or government enforcement agencies could result in substantial costs, divert our management’s attention and resources from other business concerns and damage our reputation, which could seriously harm our business, financial condition, results of operations and prospects. Any adverse determination in litigation could also subject us to significant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w:t>
      </w:r>
    </w:p>
    <w:p>
      <w:pPr>
        <w:pStyle w:val="TextBody"/>
        <w:bidi w:val="0"/>
        <w:spacing w:before="240" w:after="283"/>
        <w:jc w:val="both"/>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Recent Sales of Unregistered Equity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 Use of Proceeds from Initial Public Offering and Concurrent Private Placement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September 25, 2024, our Registration Statement on Form S-1 (No. 333-281901) was declared effective by the SEC, pursuant to which we issued and sold an aggregate of 12,650,000 shares of common stock (inclusive of 1,650,000 shares of common stock sold pursuant to the underwriters’ exercise of their option to purchase additional shares) at a public offering price of $18.00 per share for aggregate gross proceeds of $227.7 million and aggregate net cash proceeds of $207.3 million, after deducting approximately $15.9 million in underwriting discounts and commissions and approximately $4.5 million in offering costs. Concurrently with the initial public offering, we also completed a private placement, in which we issued and sold an aggregate of 588,888 shares of our common stock at a price of $18.00 per share to Sofinnova Venture Partners XI, L.P. The aggregate cash purchase price of the private placement shares was $10.6 million, resulting in aggregate net cash proceeds of $9.9 million, after deducting approximately $0.7 million in placement agent fees. Our IPO and concurrent private placement closed on September 27, 2024. Goldman Sachs &amp; Co LLC, Morgan Stanley, Jefferies LLC and Citigroup acted as joint book-running managers for the offering and placement agents for the concurrent private placement. In connection with our IPO and concurrent private placement, no payments for such expenses were made directly or indirectly to (i) any of our officers or directors or their associates, (ii) any persons owning 10% or more of any class of our equity securities or (iii) any of our affiliates.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plan to use the net proceeds from our initial public offering to fund research, clinical and process development and manufacturing of our product candidates, including BGE-102 and our APJ programs.</w:t>
      </w:r>
    </w:p>
    <w:p>
      <w:pPr>
        <w:pStyle w:val="TextBody"/>
        <w:bidi w:val="0"/>
        <w:spacing w:before="24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6, 2026, Kristen Fortney, Ph.D., the Company's Chief Executive Officer, President, and a member of its Board of Directors, adopted a Rule 10b5-1 trading plan. Dr. Fortney's Rule 10b5-1 trading plan is intended to satisfy the affirmative defense conditions of Rule 10b5-1(c) and provides for the potential exercise and sale of up to 180,000 shares of the Company's common stock subject to stock options held by Dr. Fortney at a minimum price of $20.00 per share until August 15, 2027. Dr. Fortney's Rule 10b5-1 trading plan also provides for the potential sale of up to 180,000 shares of the Company's common stock held by Dr. Fortney at minimum prices ranging from $30.00 to $44.00 per share until August 15,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29, 2026, Eric Morgen, M.D., the Company's Chief Operating Officer and a member of its Board of Directors, adopted a Rule 10b5-1 trading plan. Dr. Morgen's Rule 10b5-1 trading plan is intended to satisfy the affirmative defense conditions of Rule 10b5-1(c) and provides for the potential exercise and sale of up to 355,813 shares of the Company's common stock subject to stock options held by Dr. Morgen at minimum prices ranging from $18.00 to $60.00 per share until December 31, 2027. Dr. Morgen's Rule 10b5-1 trading plan also provides for the potential sale of up to 33,612 shares of the Company's common stock held by Dr. Morgen at a minimum price of $18.00 per share until December 31,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April 24, 2026, Ling Chen, M.D., the spouse of Eric Morgen, M.D., the Company's Chief Operating Officer and a member of its Board of Directors, adopted a Rule 10b5-1 trading plan, which Dr. Chen subsequently modified on April 28, 2026. Because Dr. Morgen is deemed to beneficially own the shares held by Ling Chen, the plan is reported as Dr. Morgen's. Dr. Chen's Rule 10b5-1 trading plan is intended to satisfy the affirmative defense conditions of Rule 10b5-1(c) and provides for the potential exercise and 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up to 29,715 shares of the Company's common stock subject to stock options held by Dr. Chen at minimum prices ranging from $18.00 to $40.00 per share until December 31,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23, 2026, Dov Goldstein, M.D., the Company's Chief Financial Officer, adopted a Rule 10b5-1 trading plan, which Dr. Goldstein subsequently modified on April 27, 2026. Dr. Goldstein's Rule 10b5-1 trading plan is intended to satisfy the affirmative defense conditions of Rule 10b5-1(c) and provides for the potential exercise and sale of up to 20,000 shares of the Company's common stock subject to a stock option held by Dr. Goldstein at minimum prices ranging from $19.00 to $22.00 per share until October 29,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30, 2026, Paul Rubin, M.D., the Company's Chief Medical Officer, adopted a Rule 10b5-1 trading plan. Dr. Rubin's Rule 10b5-1 trading plan is intended to satisfy the affirmative defense conditions of Rule 10b5-1(c) and provides for the potential exercise and sale of up to 96,000 shares of the Company's common stock subject to a stock option held by Dr. Rubin at a minimum price of $14.50 per share until October 29,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27, 2026, Rekha Hemrajani, a member of the Company's Board of Directors, adopted a Rule 10b5-1 trading plan. Ms. Hemrajani's Rule 10b5-1 trading plan is intended to satisfy the affirmative defense conditions of Rule 10b5-1(c) and provides for the potential exercise and sale of up to 22,000 shares of the Company's common stock subject to stock options held by Ms. Hemrajani at minimum prices ranging from $27.00 to $30.00 per share until October 29, 2027. Ms. Hemrajani's Rule 10b5-1 trading plan also provides for the potential sale of up to 3,000 shares of the Company's common stock held by Ms. Hemrajani at a minimum price of $33.00 per share until October 29,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Rule 10b5-1 trading plans listed above each included a representation from the director or officer to the broker administering the plan that they were not in possession of any material nonpublic information regarding the Company or the securities subject to the plan. A similar representation was made to the Company by each director or officer in a certification provided to us in connection with the adoption of the plan under the Company’s insider trading policy. Those representations were made as of the date of adoption of each Rule 10b5-1 trading plan or certification, as applicable, and speak only as of those dates. In making those representations, there is no assurance with respect to any material nonpublic information of which the director or officer was unaware, or with respect to any material nonpublic information acquired by the director or officer or the Company after the applicable date of the representation.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2"/>
        <w:gridCol w:w="146"/>
        <w:gridCol w:w="5201"/>
        <w:gridCol w:w="146"/>
        <w:gridCol w:w="586"/>
        <w:gridCol w:w="146"/>
        <w:gridCol w:w="436"/>
        <w:gridCol w:w="146"/>
        <w:gridCol w:w="736"/>
        <w:gridCol w:w="146"/>
        <w:gridCol w:w="616"/>
        <w:gridCol w:w="146"/>
        <w:gridCol w:w="932"/>
      </w:tblGrid>
      <w:tr>
        <w:trPr/>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822"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w:t>
              <w:br/>
              <w:t>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Filed</w:t>
              <w:br/>
              <w:t>Herewith</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io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io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io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io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6322" w:type="dxa"/>
        <w:jc w:val="left"/>
        <w:tblInd w:w="0" w:type="dxa"/>
        <w:tblLayout w:type="fixed"/>
        <w:tblCellMar>
          <w:top w:w="28" w:type="dxa"/>
          <w:left w:w="28" w:type="dxa"/>
          <w:bottom w:w="28" w:type="dxa"/>
          <w:right w:w="28" w:type="dxa"/>
        </w:tblCellMar>
      </w:tblPr>
      <w:tblGrid>
        <w:gridCol w:w="1846"/>
        <w:gridCol w:w="109"/>
        <w:gridCol w:w="406"/>
        <w:gridCol w:w="396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BioAge Labs,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Kristen Fortney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Kristen Fortney,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President and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Dov Goldstein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Dov Goldstein, M.D.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bioa-ex31_1.htm"/>
      <w:bookmarkStart w:id="22" w:name="ksbioaex31_1"/>
      <w:bookmarkEnd w:id="21"/>
      <w:bookmarkEnd w:id="22"/>
      <w:r>
        <w:rPr>
          <w:rFonts w:ascii="Times New Roman" w:hAnsi="Times New Roman"/>
          <w:b/>
          <w:color w:val="000000"/>
          <w:sz w:val="20"/>
        </w:rPr>
        <w:t>Exhibit 31.1</w:t>
      </w:r>
      <w:r>
        <w:br w:type="page"/>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aps/>
          <w:color w:val="000000"/>
          <w:sz w:val="20"/>
        </w:rPr>
        <w:t>CERTIFICATION of principal executive officer PURSUANT TO RULE 13</w:t>
      </w:r>
      <w:r>
        <w:rPr>
          <w:rFonts w:ascii="Times New Roman" w:hAnsi="Times New Roman"/>
          <w:b/>
          <w:color w:val="000000"/>
          <w:sz w:val="20"/>
        </w:rPr>
        <w:t>a</w:t>
      </w:r>
      <w:r>
        <w:rPr>
          <w:rFonts w:ascii="Times New Roman" w:hAnsi="Times New Roman"/>
          <w:b/>
          <w:caps/>
          <w:color w:val="000000"/>
          <w:sz w:val="20"/>
        </w:rPr>
        <w:t>-14(</w:t>
      </w:r>
      <w:r>
        <w:rPr>
          <w:rFonts w:ascii="Times New Roman" w:hAnsi="Times New Roman"/>
          <w:b/>
          <w:color w:val="000000"/>
          <w:sz w:val="20"/>
        </w:rPr>
        <w:t>a</w:t>
      </w:r>
      <w:r>
        <w:rPr>
          <w:rFonts w:ascii="Times New Roman" w:hAnsi="Times New Roman"/>
          <w:b/>
          <w:caps/>
          <w:color w:val="000000"/>
          <w:sz w:val="20"/>
        </w:rPr>
        <w:t>) OR 15</w:t>
      </w:r>
      <w:r>
        <w:rPr>
          <w:rFonts w:ascii="Times New Roman" w:hAnsi="Times New Roman"/>
          <w:b/>
          <w:color w:val="000000"/>
          <w:sz w:val="20"/>
        </w:rPr>
        <w:t>d</w:t>
      </w:r>
      <w:r>
        <w:rPr>
          <w:rFonts w:ascii="Times New Roman" w:hAnsi="Times New Roman"/>
          <w:b/>
          <w:caps/>
          <w:color w:val="000000"/>
          <w:sz w:val="20"/>
        </w:rPr>
        <w:t>-14(</w:t>
      </w:r>
      <w:r>
        <w:rPr>
          <w:rFonts w:ascii="Times New Roman" w:hAnsi="Times New Roman"/>
          <w:b/>
          <w:color w:val="000000"/>
          <w:sz w:val="20"/>
        </w:rPr>
        <w:t>a</w:t>
      </w:r>
      <w:r>
        <w:rPr>
          <w:rFonts w:ascii="Times New Roman" w:hAnsi="Times New Roman"/>
          <w:b/>
          <w:caps/>
          <w:color w:val="000000"/>
          <w:sz w:val="20"/>
        </w:rPr>
        <w:t>) OF THE SECURITIES EXCHANGE ACT OF 1934,</w:t>
      </w:r>
    </w:p>
    <w:p>
      <w:pPr>
        <w:pStyle w:val="TextBody"/>
        <w:bidi w:val="0"/>
        <w:jc w:val="center"/>
        <w:rPr>
          <w:rFonts w:ascii="Times New Roman" w:hAnsi="Times New Roman"/>
          <w:b/>
          <w:caps/>
          <w:color w:val="000000"/>
          <w:sz w:val="20"/>
        </w:rPr>
      </w:pPr>
      <w:r>
        <w:rPr>
          <w:rFonts w:ascii="Times New Roman" w:hAnsi="Times New Roman"/>
          <w:b/>
          <w:caps/>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Kristen Fortney,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BioAge Labs,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5, 2026</w:t>
      </w:r>
    </w:p>
    <w:p>
      <w:pPr>
        <w:pStyle w:val="TextBody"/>
        <w:bidi w:val="0"/>
        <w:jc w:val="left"/>
        <w:rPr/>
      </w:pPr>
      <w:r>
        <w:rPr/>
        <w:t> </w:t>
      </w:r>
    </w:p>
    <w:tbl>
      <w:tblPr>
        <w:tblW w:w="3372" w:type="dxa"/>
        <w:jc w:val="left"/>
        <w:tblInd w:w="0" w:type="dxa"/>
        <w:tblLayout w:type="fixed"/>
        <w:tblCellMar>
          <w:top w:w="28" w:type="dxa"/>
          <w:left w:w="28" w:type="dxa"/>
          <w:bottom w:w="28" w:type="dxa"/>
          <w:right w:w="28" w:type="dxa"/>
        </w:tblCellMar>
      </w:tblPr>
      <w:tblGrid>
        <w:gridCol w:w="161"/>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Kristen Fortney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Kristen Fortney, Ph.D.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bioa-ex31_2.htm"/>
      <w:bookmarkStart w:id="24" w:name="ksbioaex31_2"/>
      <w:bookmarkEnd w:id="23"/>
      <w:bookmarkEnd w:id="24"/>
      <w:r>
        <w:rPr>
          <w:rFonts w:ascii="Times New Roman" w:hAnsi="Times New Roman"/>
          <w:b/>
          <w:color w:val="000000"/>
          <w:sz w:val="20"/>
        </w:rPr>
        <w:t>Exhibit 31.2</w:t>
      </w:r>
      <w:r>
        <w:br w:type="page"/>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aps/>
          <w:color w:val="000000"/>
          <w:sz w:val="20"/>
        </w:rPr>
        <w:t>CERTIFICATION of principal financial officer PURSUANT TO RULE 13</w:t>
      </w:r>
      <w:r>
        <w:rPr>
          <w:rFonts w:ascii="Times New Roman" w:hAnsi="Times New Roman"/>
          <w:b/>
          <w:color w:val="000000"/>
          <w:sz w:val="20"/>
        </w:rPr>
        <w:t>a</w:t>
      </w:r>
      <w:r>
        <w:rPr>
          <w:rFonts w:ascii="Times New Roman" w:hAnsi="Times New Roman"/>
          <w:b/>
          <w:caps/>
          <w:color w:val="000000"/>
          <w:sz w:val="20"/>
        </w:rPr>
        <w:t>-14(</w:t>
      </w:r>
      <w:r>
        <w:rPr>
          <w:rFonts w:ascii="Times New Roman" w:hAnsi="Times New Roman"/>
          <w:b/>
          <w:color w:val="000000"/>
          <w:sz w:val="20"/>
        </w:rPr>
        <w:t>a</w:t>
      </w:r>
      <w:r>
        <w:rPr>
          <w:rFonts w:ascii="Times New Roman" w:hAnsi="Times New Roman"/>
          <w:b/>
          <w:caps/>
          <w:color w:val="000000"/>
          <w:sz w:val="20"/>
        </w:rPr>
        <w:t>) OR 15</w:t>
      </w:r>
      <w:r>
        <w:rPr>
          <w:rFonts w:ascii="Times New Roman" w:hAnsi="Times New Roman"/>
          <w:b/>
          <w:color w:val="000000"/>
          <w:sz w:val="20"/>
        </w:rPr>
        <w:t>d</w:t>
      </w:r>
      <w:r>
        <w:rPr>
          <w:rFonts w:ascii="Times New Roman" w:hAnsi="Times New Roman"/>
          <w:b/>
          <w:caps/>
          <w:color w:val="000000"/>
          <w:sz w:val="20"/>
        </w:rPr>
        <w:t>-14(</w:t>
      </w:r>
      <w:r>
        <w:rPr>
          <w:rFonts w:ascii="Times New Roman" w:hAnsi="Times New Roman"/>
          <w:b/>
          <w:color w:val="000000"/>
          <w:sz w:val="20"/>
        </w:rPr>
        <w:t>a</w:t>
      </w:r>
      <w:r>
        <w:rPr>
          <w:rFonts w:ascii="Times New Roman" w:hAnsi="Times New Roman"/>
          <w:b/>
          <w:caps/>
          <w:color w:val="000000"/>
          <w:sz w:val="20"/>
        </w:rPr>
        <w:t xml:space="preserve">) OF THE SECURITIES EXCHANGE ACT OF 1934, </w:t>
        <w:b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Dov Goldstein,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BioAge Labs,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5, 2026</w:t>
      </w:r>
    </w:p>
    <w:p>
      <w:pPr>
        <w:pStyle w:val="TextBody"/>
        <w:bidi w:val="0"/>
        <w:jc w:val="left"/>
        <w:rPr/>
      </w:pPr>
      <w:r>
        <w:rPr/>
        <w:t> </w:t>
      </w:r>
    </w:p>
    <w:tbl>
      <w:tblPr>
        <w:tblW w:w="2577" w:type="dxa"/>
        <w:jc w:val="left"/>
        <w:tblInd w:w="0" w:type="dxa"/>
        <w:tblLayout w:type="fixed"/>
        <w:tblCellMar>
          <w:top w:w="28" w:type="dxa"/>
          <w:left w:w="28" w:type="dxa"/>
          <w:bottom w:w="28" w:type="dxa"/>
          <w:right w:w="28" w:type="dxa"/>
        </w:tblCellMar>
      </w:tblPr>
      <w:tblGrid>
        <w:gridCol w:w="161"/>
        <w:gridCol w:w="2416"/>
      </w:tblGrid>
      <w:tr>
        <w:trPr/>
        <w:tc>
          <w:tcPr>
            <w:tcW w:w="16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Dov Goldstein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Dov Goldstein,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5" w:name="bioa-ex32_1.htm"/>
      <w:bookmarkStart w:id="26" w:name="ksbioa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aps/>
          <w:color w:val="000000"/>
          <w:sz w:val="20"/>
        </w:rPr>
      </w:pPr>
      <w:r>
        <w:rPr>
          <w:rFonts w:ascii="Times New Roman" w:hAnsi="Times New Roman"/>
          <w:b/>
          <w:caps/>
          <w:color w:val="000000"/>
          <w:sz w:val="20"/>
        </w:rPr>
        <w:t>CERTIFICATION OF PRINCIPAL EXECUTIVE OFFICER PURSUANT TO</w:t>
      </w:r>
    </w:p>
    <w:p>
      <w:pPr>
        <w:pStyle w:val="TextBody"/>
        <w:bidi w:val="0"/>
        <w:jc w:val="center"/>
        <w:rPr>
          <w:rFonts w:ascii="Times New Roman" w:hAnsi="Times New Roman"/>
          <w:b/>
          <w:caps/>
          <w:color w:val="000000"/>
          <w:sz w:val="20"/>
        </w:rPr>
      </w:pPr>
      <w:r>
        <w:rPr>
          <w:rFonts w:ascii="Times New Roman" w:hAnsi="Times New Roman"/>
          <w:b/>
          <w:caps/>
          <w:color w:val="000000"/>
          <w:sz w:val="20"/>
        </w:rPr>
        <w:t>18 U.S.C. SECTION 1350, AS ADOPTED PURSUANT TO</w:t>
      </w:r>
    </w:p>
    <w:p>
      <w:pPr>
        <w:pStyle w:val="TextBody"/>
        <w:bidi w:val="0"/>
        <w:jc w:val="center"/>
        <w:rPr>
          <w:rFonts w:ascii="Times New Roman" w:hAnsi="Times New Roman"/>
          <w:b/>
          <w:caps/>
          <w:color w:val="000000"/>
          <w:sz w:val="20"/>
        </w:rPr>
      </w:pPr>
      <w:r>
        <w:rPr>
          <w:rFonts w:ascii="Times New Roman" w:hAnsi="Times New Roman"/>
          <w:b/>
          <w:caps/>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Kristen Fortney, Chief Executive Officer of BioAge Labs, Inc. (the “Company”), do hereby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Quarterly Report on Form 10-Q of the Company for the fiscal quarter ended June 30, 2026 (the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5, 2026</w:t>
      </w:r>
    </w:p>
    <w:p>
      <w:pPr>
        <w:pStyle w:val="TextBody"/>
        <w:bidi w:val="0"/>
        <w:jc w:val="left"/>
        <w:rPr/>
      </w:pPr>
      <w:r>
        <w:rPr/>
        <w:t> </w:t>
      </w:r>
    </w:p>
    <w:tbl>
      <w:tblPr>
        <w:tblW w:w="3518" w:type="dxa"/>
        <w:jc w:val="left"/>
        <w:tblInd w:w="0" w:type="dxa"/>
        <w:tblLayout w:type="fixed"/>
        <w:tblCellMar>
          <w:top w:w="28" w:type="dxa"/>
          <w:left w:w="28" w:type="dxa"/>
          <w:bottom w:w="28" w:type="dxa"/>
          <w:right w:w="28" w:type="dxa"/>
        </w:tblCellMar>
      </w:tblPr>
      <w:tblGrid>
        <w:gridCol w:w="161"/>
        <w:gridCol w:w="146"/>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Kristen Fortney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Kristen Fortney, Ph.D.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7" w:name="bioa-ex32_2.htm"/>
      <w:bookmarkStart w:id="28" w:name="ksbioaex32_2"/>
      <w:bookmarkEnd w:id="27"/>
      <w:bookmarkEnd w:id="28"/>
      <w:r>
        <w:rPr>
          <w:rFonts w:ascii="Times New Roman" w:hAnsi="Times New Roman"/>
          <w:b/>
          <w:color w:val="000000"/>
          <w:sz w:val="20"/>
        </w:rPr>
        <w:t>Exhibit 32.2</w:t>
      </w:r>
      <w:r>
        <w:br w:type="page"/>
      </w:r>
    </w:p>
    <w:p>
      <w:pPr>
        <w:pStyle w:val="TextBody"/>
        <w:bidi w:val="0"/>
        <w:jc w:val="center"/>
        <w:rPr>
          <w:rFonts w:ascii="Times New Roman" w:hAnsi="Times New Roman"/>
          <w:b/>
          <w:caps/>
          <w:color w:val="000000"/>
          <w:sz w:val="20"/>
        </w:rPr>
      </w:pPr>
      <w:r>
        <w:rPr>
          <w:rFonts w:ascii="Times New Roman" w:hAnsi="Times New Roman"/>
          <w:b/>
          <w:caps/>
          <w:color w:val="000000"/>
          <w:sz w:val="20"/>
        </w:rPr>
        <w:t>CERTIFICATION OF PRINCIPAL FINANCIAL OFFICER PURSUANT TO</w:t>
      </w:r>
    </w:p>
    <w:p>
      <w:pPr>
        <w:pStyle w:val="TextBody"/>
        <w:bidi w:val="0"/>
        <w:jc w:val="center"/>
        <w:rPr>
          <w:rFonts w:ascii="Times New Roman" w:hAnsi="Times New Roman"/>
          <w:b/>
          <w:caps/>
          <w:color w:val="000000"/>
          <w:sz w:val="20"/>
        </w:rPr>
      </w:pPr>
      <w:r>
        <w:rPr>
          <w:rFonts w:ascii="Times New Roman" w:hAnsi="Times New Roman"/>
          <w:b/>
          <w:caps/>
          <w:color w:val="000000"/>
          <w:sz w:val="20"/>
        </w:rPr>
        <w:t>18 U.S.C. SECTION 1350, AS ADOPTED PURSUANT TO</w:t>
      </w:r>
    </w:p>
    <w:p>
      <w:pPr>
        <w:pStyle w:val="TextBody"/>
        <w:bidi w:val="0"/>
        <w:jc w:val="center"/>
        <w:rPr>
          <w:rFonts w:ascii="Times New Roman" w:hAnsi="Times New Roman"/>
          <w:b/>
          <w:caps/>
          <w:color w:val="000000"/>
          <w:sz w:val="20"/>
        </w:rPr>
      </w:pPr>
      <w:r>
        <w:rPr>
          <w:rFonts w:ascii="Times New Roman" w:hAnsi="Times New Roman"/>
          <w:b/>
          <w:caps/>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Dov Goldstein, Chief Financial Officer of BioAge Labs, Inc. (the “Company”), do hereby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Quarterly Report on Form 10-Q of the Company for the fiscal quarter ended June 30, 2026 (the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5, 2026</w:t>
      </w:r>
    </w:p>
    <w:p>
      <w:pPr>
        <w:pStyle w:val="TextBody"/>
        <w:bidi w:val="0"/>
        <w:jc w:val="left"/>
        <w:rPr/>
      </w:pPr>
      <w:r>
        <w:rPr/>
        <w:t> </w:t>
      </w:r>
    </w:p>
    <w:tbl>
      <w:tblPr>
        <w:tblW w:w="2723" w:type="dxa"/>
        <w:jc w:val="left"/>
        <w:tblInd w:w="0" w:type="dxa"/>
        <w:tblLayout w:type="fixed"/>
        <w:tblCellMar>
          <w:top w:w="28" w:type="dxa"/>
          <w:left w:w="28" w:type="dxa"/>
          <w:bottom w:w="28" w:type="dxa"/>
          <w:right w:w="28" w:type="dxa"/>
        </w:tblCellMar>
      </w:tblPr>
      <w:tblGrid>
        <w:gridCol w:w="161"/>
        <w:gridCol w:w="146"/>
        <w:gridCol w:w="241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Dov Goldstein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Dov Goldstein,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60871</Words>
  <Characters>339391</Characters>
  <CharactersWithSpaces>400736</CharactersWithSpaces>
  <Paragraphs>6590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