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12026_080701.xml.htm"/>
      <w:bookmarkStart w:id="1" w:name="ksform407012026_0807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Barton Shane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BIOAGE LABS,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5885 HOLLIS STREET, SUITE 370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EMERYVILLE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BioAge Labs, Inc.</w:t>
              </w:r>
            </w:hyperlink>
            <w:r>
              <w:rPr/>
              <w:t xml:space="preserve"> [ </w:t>
            </w:r>
            <w:r>
              <w:rPr>
                <w:rFonts w:ascii="Times;serif" w:hAnsi="Times;serif"/>
                <w:color w:val="0000FF"/>
                <w:sz w:val="24"/>
                <w:shd w:fill="FFFFFF" w:val="clear"/>
              </w:rPr>
              <w:t>BIOA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Principal Accounting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9,301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10.85</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11,933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7,261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8.39</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19,194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8,958</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28,152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14,198</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4.38</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42,350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42,350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25.2084</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10.85</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8.39</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8,290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12,355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7,861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4.38</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20,216</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20,216</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25.1868</w:t>
            </w:r>
            <w:r>
              <w:rPr>
                <w:rFonts w:ascii="Times;serif" w:hAnsi="Times;serif"/>
                <w:color w:val="008000"/>
                <w:position w:val="7"/>
                <w:sz w:val="16"/>
                <w:sz w:val="20"/>
                <w:shd w:fill="FFFFFF" w:val="clear"/>
              </w:rPr>
              <w:t>(3)</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10.85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9,301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09/26/2033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9,301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17,589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8.39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7,261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04/16/2034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7,261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21,016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8,958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12/17/2034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8,958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31,042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14,198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14,198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75,802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10.85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4,290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09/26/2033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13,299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8.39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04/16/2034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17,016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4,065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12/17/2034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26,977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7,861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7,861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67,941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executed pursuant to a Rule 10b5-1 trading plan adopted by the reporting person on December 16,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$25.00 to $25.79 per share,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and in footnote 3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$25.00 to $25.42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 vested as to 1/4th of the total award on September 25, 2024, and thereafter vested or vests as to 1/48th of the total award on the monthly anniversary thereof,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 vested as to 1/4th of the total award on October 17, 2024, and thereafter vested or vests as to 1/48th of the total award on the monthly anniversary thereof,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 vested as to 1/4th of the total award on October 26, 2024, and thereafter vested or vests as to 1/48th of the total award on the monthly anniversary thereof,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option vested or vests as to 1/48th of the total award monthly, with the first tranche vesting on February 1, 2025, and each subsequent tranche vesting on the monthly anniversary thereof, subject to the reporting person's continued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Dov A. Goldstein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6297" TargetMode="External"/><Relationship Id="rId5" Type="http://schemas.openxmlformats.org/officeDocument/2006/relationships/hyperlink" Target="http://www.sec.gov/cgi-bin/browse-edgar?action=getcompany&amp;CIK=000170994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1106</Words>
  <Characters>5710</Characters>
  <CharactersWithSpaces>6633</CharactersWithSpaces>
  <Paragraphs>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