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26"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7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BIOAGE LABS, INC.</w:t>
      </w:r>
    </w:p>
    <w:p>
      <w:pPr>
        <w:sectPr>
          <w:pgSz w:w="11900" w:h="16838" w:orient="portrait"/>
          <w:cols w:equalWidth="0" w:num="1">
            <w:col w:w="11240"/>
          </w:cols>
          <w:pgMar w:left="320" w:top="1199"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5885 Hollis St, Suite 370</w:t>
      </w:r>
    </w:p>
    <w:p>
      <w:pPr>
        <w:spacing w:after="0" w:line="1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Emeryville,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47-4721157</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94608</w:t>
      </w:r>
    </w:p>
    <w:p>
      <w:pPr>
        <w:spacing w:after="0" w:line="27" w:lineRule="exact"/>
        <w:rPr>
          <w:sz w:val="24"/>
          <w:szCs w:val="24"/>
          <w:color w:val="auto"/>
        </w:rPr>
      </w:pPr>
    </w:p>
    <w:p>
      <w:pPr>
        <w:sectPr>
          <w:pgSz w:w="11900" w:h="16838" w:orient="portrait"/>
          <w:cols w:equalWidth="0" w:num="2">
            <w:col w:w="7700" w:space="240"/>
            <w:col w:w="3300"/>
          </w:cols>
          <w:pgMar w:left="320" w:top="1199"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806-1445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BIOA</w:t>
            </w:r>
          </w:p>
        </w:tc>
        <w:tc>
          <w:tcPr>
            <w:tcW w:w="120" w:type="dxa"/>
            <w:vAlign w:val="bottom"/>
          </w:tcPr>
          <w:p>
            <w:pPr>
              <w:spacing w:after="0"/>
              <w:rPr>
                <w:sz w:val="17"/>
                <w:szCs w:val="17"/>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growth company. See the definitions of “large accelerated filer,” “accelerated filer,” “smaller reporting company,” and “emerging growth company” in Rule 12b-2 of the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Exchange Act.</w:t>
      </w:r>
    </w:p>
    <w:p>
      <w:pPr>
        <w:spacing w:after="0" w:line="56" w:lineRule="exact"/>
        <w:rPr>
          <w:sz w:val="24"/>
          <w:szCs w:val="24"/>
          <w:color w:val="auto"/>
        </w:rPr>
      </w:pPr>
    </w:p>
    <w:p>
      <w:pPr>
        <w:spacing w:after="0" w:line="184" w:lineRule="exact"/>
        <w:tabs>
          <w:tab w:leader="none" w:pos="2220" w:val="left"/>
          <w:tab w:leader="none" w:pos="8620" w:val="left"/>
          <w:tab w:leader="none" w:pos="109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spacing w:after="0" w:line="184" w:lineRule="exact"/>
        <w:tabs>
          <w:tab w:leader="none" w:pos="2220" w:val="left"/>
          <w:tab w:leader="none" w:pos="8620" w:val="left"/>
          <w:tab w:leader="none" w:pos="1098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tabs>
          <w:tab w:leader="none" w:pos="22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1"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0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May 1, 2026, the registrant had 44,452,734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3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140" w:type="dxa"/>
            <w:vAlign w:val="bottom"/>
          </w:tcPr>
          <w:p>
            <w:pPr>
              <w:spacing w:after="0"/>
              <w:rPr>
                <w:sz w:val="17"/>
                <w:szCs w:val="17"/>
                <w:color w:val="auto"/>
              </w:rPr>
            </w:pP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4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20" w:type="dxa"/>
            <w:vAlign w:val="bottom"/>
            <w:tcBorders>
              <w:top w:val="single" w:sz="8" w:color="0000FF"/>
            </w:tcBorders>
            <w:gridSpan w:val="2"/>
          </w:tcPr>
          <w:p>
            <w:pPr>
              <w:spacing w:after="0"/>
              <w:rPr>
                <w:sz w:val="17"/>
                <w:szCs w:val="17"/>
                <w:color w:val="auto"/>
              </w:rPr>
            </w:pPr>
          </w:p>
        </w:tc>
        <w:tc>
          <w:tcPr>
            <w:tcW w:w="38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40" w:type="dxa"/>
            <w:vAlign w:val="bottom"/>
          </w:tcPr>
          <w:p>
            <w:pPr>
              <w:spacing w:after="0"/>
              <w:rPr>
                <w:sz w:val="17"/>
                <w:szCs w:val="17"/>
                <w:color w:val="auto"/>
              </w:rPr>
            </w:pPr>
          </w:p>
        </w:tc>
        <w:tc>
          <w:tcPr>
            <w:tcW w:w="37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5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40" w:type="dxa"/>
            <w:vAlign w:val="bottom"/>
          </w:tcPr>
          <w:p>
            <w:pPr>
              <w:spacing w:after="0"/>
              <w:rPr>
                <w:sz w:val="17"/>
                <w:szCs w:val="17"/>
                <w:color w:val="auto"/>
              </w:rPr>
            </w:pP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24"/>
                <w:szCs w:val="24"/>
                <w:color w:val="auto"/>
              </w:rPr>
            </w:pPr>
          </w:p>
        </w:tc>
        <w:tc>
          <w:tcPr>
            <w:tcW w:w="74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2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All statements other than statements of historical facts contained in this Quarterly Report are forward-looking statements. In some cases, you can identify forward-looking statements by terms such as “aim,” “may,” “will,” “should,” “expect,” “forecast,”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including without limitation statements regarding our plans to develop and commercialize our product candidates, including BGE-102 and our APJ programs, the potential for BGE-102 as a treatment for obesity and cardiovascular risk factors and the expected timeline for data readouts from our ongoing Phase 1 clinical trial, the timing and results of our ongoing or planned preclinical studies and clinical trials, risks associated with clinical trials, including our ability to adequately manage clinical activities, the timing of IND filings for our APJ programs, unexpected concerns that may arise from additional data or analysis obtained during clinical trials, the timing of and our ability to obtain and maintain regulatory approvals, the clinical utility of our product candidates, our commercialization, marketing and manufacturing capabilities and strategy, our expectations about the willingness of healthcare professionals to use our product candidates, the sufficiency of our cash, cash equivalents, and marketable securities, general economic, industry and market conditions, including fluctuating interest rates and inflation, cybersecurity incidents, significant political, trade or regulatory developments, including tariffs, any future federal government shutdowns, or shifting priorities within the U.S. Food and Drug Administration, and political instability and military hostilities in multiple geographies, such as the conflicts in Ukraine, Venezuela, Iran, tensions between China and Taiwan and the possibility of a wider Middle Eastern, European or global conflict, on our operations and the receipt and timing of potential regulatory designations, approvals and commercialization of product candidates, and the plans and objectives of management for future operations and capital expenditures are forward-looking statements.</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known and unknown risks, uncertainties, and assumptions, including those described under the sections in this Quarterly Report entitled “Risk Factors” and “Management’s Discussion and Analysis of Financial Condition and Results of Operations” and elsewhere in this Quarterly Report.</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or the Securities Act, and Section 21E of the Securities Exchange Act of 1934, as amended (the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241,777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188,888</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92,210</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7,957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4,926</w:t>
            </w:r>
          </w:p>
        </w:tc>
      </w:tr>
      <w:tr>
        <w:trPr>
          <w:trHeight w:val="209"/>
        </w:trPr>
        <w:tc>
          <w:tcPr>
            <w:tcW w:w="75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391,860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286,793</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4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397,654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294,889</w:t>
            </w:r>
          </w:p>
        </w:tc>
      </w:tr>
      <w:tr>
        <w:trPr>
          <w:trHeight w:val="197"/>
        </w:trPr>
        <w:tc>
          <w:tcPr>
            <w:tcW w:w="7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2,674</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8,480</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5,754</w:t>
            </w:r>
          </w:p>
        </w:tc>
      </w:tr>
      <w:tr>
        <w:trPr>
          <w:trHeight w:val="209"/>
        </w:trPr>
        <w:tc>
          <w:tcPr>
            <w:tcW w:w="75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15,827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20,138</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w:t>
            </w: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18,533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22,838</w:t>
            </w:r>
          </w:p>
        </w:tc>
      </w:tr>
      <w:tr>
        <w:trPr>
          <w:trHeight w:val="210"/>
        </w:trPr>
        <w:tc>
          <w:tcPr>
            <w:tcW w:w="7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7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as of</w:t>
            </w: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no shares issued or outstanding</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500,000,000 shares authorized as of</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44,386,785 and 37,386,908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2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734,717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605,189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(355,669)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(333,416)</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379,121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272,051</w:t>
            </w: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397,654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294,889</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-4234180</wp:posOffset>
            </wp:positionV>
            <wp:extent cx="120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-3394075</wp:posOffset>
            </wp:positionV>
            <wp:extent cx="120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-3376930</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-2262505</wp:posOffset>
            </wp:positionV>
            <wp:extent cx="120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-1979295</wp:posOffset>
            </wp:positionV>
            <wp:extent cx="120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2,772</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20,410</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11,109</w:t>
            </w: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7,737</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r>
      <w:tr>
        <w:trPr>
          <w:trHeight w:val="209"/>
        </w:trPr>
        <w:tc>
          <w:tcPr>
            <w:tcW w:w="6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28,147</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17,897</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3,714</w:t>
            </w: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changes in fair value of warrants</w:t>
            </w: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6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3,518</w:t>
            </w: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6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60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r>
      <w:tr>
        <w:trPr>
          <w:trHeight w:val="197"/>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42,480,488</w:t>
            </w:r>
          </w:p>
        </w:tc>
        <w:tc>
          <w:tcPr>
            <w:tcW w:w="18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35,850,037</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holding gains (losses) on available-for-sale investments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-2339340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-1499235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-1190625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-1174115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20" w:type="dxa"/>
            <w:vAlign w:val="bottom"/>
            <w:gridSpan w:val="3"/>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2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91"/>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1"/>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200" w:type="dxa"/>
            <w:vAlign w:val="bottom"/>
            <w:tcBorders>
              <w:bottom w:val="single" w:sz="8" w:color="auto"/>
            </w:tcBorders>
          </w:tcPr>
          <w:p>
            <w:pPr>
              <w:jc w:val="right"/>
              <w:ind w:right="4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211"/>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31"/>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5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5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37,386,908</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605,189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278</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(333,416)</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272,051</w:t>
            </w:r>
          </w:p>
        </w:tc>
        <w:tc>
          <w:tcPr>
            <w:tcW w:w="0" w:type="dxa"/>
            <w:vAlign w:val="bottom"/>
          </w:tcPr>
          <w:p>
            <w:pPr>
              <w:spacing w:after="0"/>
              <w:rPr>
                <w:sz w:val="1"/>
                <w:szCs w:val="1"/>
                <w:color w:val="auto"/>
              </w:rPr>
            </w:pPr>
          </w:p>
        </w:tc>
      </w:tr>
      <w:tr>
        <w:trPr>
          <w:trHeight w:val="126"/>
        </w:trPr>
        <w:tc>
          <w:tcPr>
            <w:tcW w:w="3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Underwritten stock offering, net of underwriting discounts and</w:t>
            </w:r>
          </w:p>
        </w:tc>
        <w:tc>
          <w:tcPr>
            <w:tcW w:w="12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6,782,050</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123,557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123,557</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commissions, and offering expenses</w:t>
            </w: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12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217,827</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2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3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bottom w:val="single" w:sz="8" w:color="auto"/>
            </w:tcBorders>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(22,253)</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(22,253)</w:t>
            </w:r>
          </w:p>
        </w:tc>
        <w:tc>
          <w:tcPr>
            <w:tcW w:w="0" w:type="dxa"/>
            <w:vAlign w:val="bottom"/>
          </w:tcPr>
          <w:p>
            <w:pPr>
              <w:spacing w:after="0"/>
              <w:rPr>
                <w:sz w:val="1"/>
                <w:szCs w:val="1"/>
                <w:color w:val="auto"/>
              </w:rPr>
            </w:pPr>
          </w:p>
        </w:tc>
      </w:tr>
      <w:tr>
        <w:trPr>
          <w:trHeight w:val="142"/>
        </w:trPr>
        <w:tc>
          <w:tcPr>
            <w:tcW w:w="3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1200" w:type="dxa"/>
            <w:vAlign w:val="bottom"/>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44,386,785</w:t>
            </w:r>
          </w:p>
        </w:tc>
        <w:tc>
          <w:tcPr>
            <w:tcW w:w="920" w:type="dxa"/>
            <w:vAlign w:val="bottom"/>
            <w:gridSpan w:val="2"/>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734,717</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(355,669)</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379,121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20" w:type="dxa"/>
            <w:vAlign w:val="bottom"/>
            <w:gridSpan w:val="3"/>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2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91"/>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51"/>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200" w:type="dxa"/>
            <w:vAlign w:val="bottom"/>
            <w:tcBorders>
              <w:bottom w:val="single" w:sz="8" w:color="auto"/>
            </w:tcBorders>
          </w:tcPr>
          <w:p>
            <w:pPr>
              <w:jc w:val="right"/>
              <w:ind w:right="4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211"/>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31"/>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5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51"/>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35,850,037</w:t>
            </w:r>
          </w:p>
        </w:tc>
        <w:tc>
          <w:tcPr>
            <w:tcW w:w="920" w:type="dxa"/>
            <w:vAlign w:val="bottom"/>
            <w:gridSpan w:val="2"/>
            <w:shd w:val="clear" w:color="auto" w:fill="CFF0FC"/>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575,693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245</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(252,811)</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323,127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49"/>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2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3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bottom w:val="single" w:sz="8" w:color="auto"/>
            </w:tcBorders>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(12,928)</w:t>
            </w:r>
          </w:p>
        </w:tc>
        <w:tc>
          <w:tcPr>
            <w:tcW w:w="0" w:type="dxa"/>
            <w:vAlign w:val="bottom"/>
          </w:tcPr>
          <w:p>
            <w:pPr>
              <w:spacing w:after="0"/>
              <w:rPr>
                <w:sz w:val="1"/>
                <w:szCs w:val="1"/>
                <w:color w:val="auto"/>
              </w:rPr>
            </w:pPr>
          </w:p>
        </w:tc>
      </w:tr>
      <w:tr>
        <w:trPr>
          <w:trHeight w:val="142"/>
        </w:trPr>
        <w:tc>
          <w:tcPr>
            <w:tcW w:w="3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0" w:type="dxa"/>
            <w:vAlign w:val="bottom"/>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35,850,037</w:t>
            </w:r>
          </w:p>
        </w:tc>
        <w:tc>
          <w:tcPr>
            <w:tcW w:w="920" w:type="dxa"/>
            <w:vAlign w:val="bottom"/>
            <w:gridSpan w:val="2"/>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578,642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264</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(265,739)</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313,167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-1242695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-1242695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-1242695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-1242695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-1242695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-128270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-128270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-128270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Pr>
          <w:p>
            <w:pPr>
              <w:spacing w:after="0"/>
              <w:rPr>
                <w:sz w:val="18"/>
                <w:szCs w:val="18"/>
                <w:color w:val="auto"/>
              </w:rPr>
            </w:pPr>
          </w:p>
        </w:tc>
      </w:tr>
      <w:tr>
        <w:trPr>
          <w:trHeight w:val="238"/>
        </w:trPr>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r>
      <w:tr>
        <w:trPr>
          <w:trHeight w:val="209"/>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8"/>
                <w:szCs w:val="18"/>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2,949</w:t>
            </w: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from changes in fair value on warrants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net investment discounts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10"/>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(77,562)</w:t>
            </w:r>
          </w:p>
        </w:tc>
      </w:tr>
      <w:tr>
        <w:trPr>
          <w:trHeight w:val="21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33,487</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(77,988)</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underwritten offering of common stock, net of underwriting discounts and commissions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124,315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Underwritten offering issuance costs paid</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paid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principal payments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shares upon stock option exercises</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123,715</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 on cash and cash equivalents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52,889</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188,888</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354,349</w:t>
            </w:r>
          </w:p>
        </w:tc>
      </w:tr>
      <w:tr>
        <w:trPr>
          <w:trHeight w:val="25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241,777</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257,486</w:t>
            </w:r>
          </w:p>
        </w:tc>
      </w:tr>
      <w:tr>
        <w:trPr>
          <w:trHeight w:val="196"/>
        </w:trPr>
        <w:tc>
          <w:tcPr>
            <w:tcW w:w="7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1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Unpaid underwritten offering issuance costs included in accounts payable and accrued expenses</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-3093720</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-2536825</wp:posOffset>
            </wp:positionV>
            <wp:extent cx="111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-1414145</wp:posOffset>
            </wp:positionV>
            <wp:extent cx="111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-847725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-831215</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BioAge Labs, Inc. (the “Company”) is a clinical-stage biopharmaceutical company developing therapeutic product candidates for cardiometabolic diseases by targeting the biology of human aging. The Company's technology platform and differentiated human datasets enable us to identify promising targets based on insights into molecular changes that drive aging.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incorporated in 2015 in the State of Delaware and is headquartered in Emeryville, California.</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October 2, 2025, the Company filed a universal shelf registration statement on Form S-3 (the “Registration Statement”) with the SEC, as amended on November 5, 2025, and entered into a sales agreement with Leerink Partners LLC, under which the Company may, from time to time, offer and sell common stock having an aggregate offering value of up to $75.0 million, referred to as the “at-the-market” program. The Company may terminate this at-the-market program at any time, pursuant to its terms.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1,400,000 shares of the Company's common stock had been offered or sold pursuant to the “at-the-market” program for gross proceeds of approximately $17.6 million, before deducting sales agent commission and offering costs of approximately $0.5 million, resulting in net proceeds of approximately $17.1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the Company completed an underwritten public offering of its common stock, issuing 5,897,435 shares at a public offering price of $19.50 per share for net proceeds of $107.4 million, after underwriting discounts and commissions and offering costs (the "January 2026 Public Offering"). The January 2026 Public Offering included a 30-day option for the underwriters to purchase up to 884,615 additional shares.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Company issued 884,615 shares of its common stock upon exercise of the underwriters’ option in the January 2026 Public Offering, resulting in net proceeds of $16.2 million, net of underwriting discounts and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the Company’s operations have consisted primarily of organizing and staffing the Company, business planning, raising capital, establishing its intellectual property portfolio, acquiring or discovering product candidates, research and development activities for its product candidates, establishing arrangements with third parties for the manufacture of its product candidates and component materials, and providing general and administrative support for these operations. The Company has not generated any product revenue to 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and had an accumulated deficit of $355.7 million as of March 31, 2026. The Company anticipates incurring additional losses until such time, if ever, that it can generate significant sales of its products currently in development. As of March 31, 2026, the Company had cash, cash equivalents, and marketable securities of $384.9 million, of which $1.7 million were long-term marketable securities.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cash, cash equivalents, and marketable securities are sufficient to fund planned operations at least one year after the date these unaudited condensed consolidated financial statements are issued. Accordingly, these unaudited condensed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the Company can generate substantial product revenues, it expects to finance its cash needs through equity offerings, debt financings or other capital sources, which could include collaborations, strategic alliances or licensing arrangements. To the extent that the Company raises additional capital through the sale of equity or convertible debt securities, the ownership interests of its existing stockholders may be diluted, and the terms of these securities may include liquidation or other preferences that could adversely affect the rights of such stockholders. Debt financing, if available, may involve agreements that include restrictive covenants that limit the Company’s ability to take specific actions, such as incurring additional debt, making capital expenditures or declaring dividends, that could adversely impact the Company’s ability to conduct its business. If the Company raises additional funds through collaborations, strategic alliances or licensing arrangements with third parties, the Company may have to relinquish valuable rights to the Company’s technologies, future revenue streams, research program or product candidates, or grant licenses on terms that may not be favorable to the Company. If the Company is unable to raise additional funds through equity or debt financings when needed, the Company may be required to delay, limit, reduce or terminate its product development or future commercialization efforts or grant rights to develop and market product candidates that the Company would otherwise prefer to develop and market itself.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United States of America generally accepted accounting principles (“GAAP”) and applicable rules and regulations of the Securities and Exchange Commission (the “SEC”) regarding interim financial reporting. Any reference in these notes to applicable guidance is meant to refer to GAAP as found in the Accounting Standards Codification (“ASC”) and Accounting Standards Updates (“ASU”) promulgated by the Financial Accounting Standards Board (“FASB”). The unaudited condensed consolidated financial statements include the accounts of BioAge Labs, Inc. and its wholly owned subsidiary, BioAge Labs PTY LTD. BioAge Labs PTY LTD was incorporated in Australia in December 2020. All intercompany accounts and transactions have been eliminated in consolidation.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on Form 10-Q should be read in conjunction with the consolidated financial statements and accompanying notes included in the Company’s 2025 Annual Report on Form 10-K. The balance sheet as of December 31, 2025 was derived from audited consolidated financial statements included in the Company’s 2025 Annual Report on Form 10-K but does not include all disclosures required by GAAP.</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from these interim financial statements. The interim results are not necessarily indicative of results to be expected for the full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Actual results could differ from those estimates.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revisions are reflected in the condensed consolidated financial statements in the period they are determined to be necessary. Areas that require management’s estimates include warrant liability, stock-based compensation expense assumptions, recording revenue for performance obligations recognized over time, valuation of deferred tax assets, and estimating services expended by third-party service providers used to recognize research and development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that have original maturities of three months or less when acquired to be cash equivalents.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high-grade debt securities. Marketable securities with maturities within twelve months from the balance sheet date are classified as short-term marketable securities and those with maturities over twelve months from the balance sheet date are classified as long-term marketable securities. The Company classifies all marketable securities as available-for-sale, which are recorded at fair value. Unrealized gains and losses are included in accumulated other comprehensive income (loss) in stockholders’ equity. As of and for the three months ended March 31, 2026 and 2025, the Company did not have any allowance for credit losses or impairments of its marketable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accounts receivable, cash, cash equivalents, and marketable securities. Management monitors exposure to credit risk on an ongoing basis.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invests its excess cash in investment-grade, liquid instruments in accordance with its investment policy. The Company maintains cash balances at financial institutions that may exceed federally insured limits and is exposed to credit risk in the event of a default by the financial institutions holding its cash and by issuers of its cash equivalents and marketable securities. The Company has not experienced any losses on its deposits of cash, cash equivalents, or marketable securities to date.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one customer accounted for 100% of the Company’s accounts receivable. For the three months ended March 31, 2026 and 2025, the same customer accounted for 100% of the Company’s revenue.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 financial instruments with off-balance sheet risk of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faces risks and uncertainties associated with companies in the biotechnology industry, including but not limited to the uncertainty of success of its preclinical studies and clinical trials, regulatory approval of product candidates, uncertainty of market acceptance of products, competition from substitute products and larger companies, the need for additional financing, compliance with government regulations, dependence on third parties, recruiting and retaining skilled personnel, and dependence on key members of management.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Company’s complete listing of significant accounting policies is set forth in Note 2. </w:t>
      </w:r>
      <w:r>
        <w:rPr>
          <w:rFonts w:ascii="Times New Roman" w:cs="Times New Roman" w:eastAsia="Times New Roman" w:hAnsi="Times New Roman"/>
          <w:sz w:val="18"/>
          <w:szCs w:val="18"/>
          <w:i w:val="1"/>
          <w:iCs w:val="1"/>
          <w:color w:val="auto"/>
        </w:rPr>
        <w:t>Basis of Presentation and Significant Accounting Policies</w:t>
      </w:r>
      <w:r>
        <w:rPr>
          <w:rFonts w:ascii="Times New Roman" w:cs="Times New Roman" w:eastAsia="Times New Roman" w:hAnsi="Times New Roman"/>
          <w:sz w:val="18"/>
          <w:szCs w:val="18"/>
          <w:color w:val="auto"/>
        </w:rPr>
        <w:t>, to the Notes to Condensed Financial Statements in its Annual Report on Form 10-K for the fiscal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standard calls for enhanced disclosures about components of expense captions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face of the income statement. This standard will be effective for annual reporting periods beginning after December 15, 2026, and interim periods beginning after December 15, 2027, with early adoption permitted and the option for retrospective application. This ASU will result in the required additional disclosures being included in the Company's consolidated financial statements, once adopted, and will have no impact on our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GAAP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Unobservable inputs are inputs that reflect the Company’s assumptions about the inputs that market participants would use in pricing the asset or liability and are developed based on the best information available in the circumstances.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Fair value is established as the exchange price, or exit price, representing the amount that would be received to sell an asset or paid to transfer a liability in an orderly transaction between market participants. As a basis for considering market participant assumptions in fair value measurements, an established three-tier fair value hierarchy distinguishes between the following:</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that are accessible at the market date for identical assets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assets or liability. Financial assets and liabilities are classified in their entirety based on the lowest level of input that is significant to the fair value measurement.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current assets, accounts payable, accrued expenses and other current liabilities reported in the condensed consolidated financial statements approximate their fair values due to their short-term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220,998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220,998</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Treasury bill</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2,487</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18,002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18,002</w:t>
            </w:r>
          </w:p>
        </w:tc>
      </w:tr>
      <w:tr>
        <w:trPr>
          <w:trHeight w:val="209"/>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223,485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241,487</w:t>
            </w:r>
          </w:p>
        </w:tc>
      </w:tr>
      <w:tr>
        <w:trPr>
          <w:trHeight w:val="216"/>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Treasury bill</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2,977</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73,058</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37,253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37,253</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24,036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24,036</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1,505</w:t>
            </w:r>
          </w:p>
        </w:tc>
      </w:tr>
      <w:tr>
        <w:trPr>
          <w:trHeight w:val="21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76,035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65,382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141,417</w:t>
            </w:r>
          </w:p>
        </w:tc>
      </w:tr>
      <w:tr>
        <w:trPr>
          <w:trHeight w:val="216"/>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672</w:t>
            </w:r>
          </w:p>
        </w:tc>
      </w:tr>
      <w:tr>
        <w:trPr>
          <w:trHeight w:val="21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1,680</w:t>
            </w:r>
          </w:p>
        </w:tc>
      </w:tr>
      <w:tr>
        <w:trPr>
          <w:trHeight w:val="209"/>
        </w:trPr>
        <w:tc>
          <w:tcPr>
            <w:tcW w:w="4100" w:type="dxa"/>
            <w:vAlign w:val="bottom"/>
            <w:tcBorders>
              <w:top w:val="single" w:sz="8" w:color="CFF0FC"/>
            </w:tcBorders>
          </w:tcPr>
          <w:p>
            <w:pPr>
              <w:spacing w:after="0"/>
              <w:rPr>
                <w:sz w:val="18"/>
                <w:szCs w:val="18"/>
                <w:color w:val="auto"/>
              </w:rPr>
            </w:pPr>
          </w:p>
        </w:tc>
        <w:tc>
          <w:tcPr>
            <w:tcW w:w="17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6"/>
        </w:trPr>
        <w:tc>
          <w:tcPr>
            <w:tcW w:w="4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fair value of financial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300,528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84,056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384,584</w:t>
            </w:r>
          </w:p>
        </w:tc>
      </w:tr>
      <w:tr>
        <w:trPr>
          <w:trHeight w:val="197"/>
        </w:trPr>
        <w:tc>
          <w:tcPr>
            <w:tcW w:w="4100" w:type="dxa"/>
            <w:vAlign w:val="bottom"/>
            <w:tcBorders>
              <w:top w:val="single" w:sz="8" w:color="CFF0FC"/>
            </w:tcBorders>
          </w:tcPr>
          <w:p>
            <w:pPr>
              <w:spacing w:after="0"/>
              <w:rPr>
                <w:sz w:val="17"/>
                <w:szCs w:val="17"/>
                <w:color w:val="auto"/>
              </w:rPr>
            </w:pPr>
          </w:p>
        </w:tc>
        <w:tc>
          <w:tcPr>
            <w:tcW w:w="17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w:t>
            </w:r>
          </w:p>
        </w:tc>
      </w:tr>
      <w:tr>
        <w:trPr>
          <w:trHeight w:val="441"/>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182,234</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5,736</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r>
      <w:tr>
        <w:trPr>
          <w:trHeight w:val="209"/>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188,612</w:t>
            </w:r>
          </w:p>
        </w:tc>
      </w:tr>
      <w:tr>
        <w:trPr>
          <w:trHeight w:val="216"/>
        </w:trPr>
        <w:tc>
          <w:tcPr>
            <w:tcW w:w="41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41,093</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11,613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11,613</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32,941</w:t>
            </w:r>
          </w:p>
        </w:tc>
      </w:tr>
      <w:tr>
        <w:trPr>
          <w:trHeight w:val="216"/>
        </w:trPr>
        <w:tc>
          <w:tcPr>
            <w:tcW w:w="4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7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1,510</w:t>
            </w:r>
          </w:p>
        </w:tc>
      </w:tr>
      <w:tr>
        <w:trPr>
          <w:trHeight w:val="20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92,210</w:t>
            </w:r>
          </w:p>
        </w:tc>
      </w:tr>
      <w:tr>
        <w:trPr>
          <w:trHeight w:val="216"/>
        </w:trPr>
        <w:tc>
          <w:tcPr>
            <w:tcW w:w="41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bonds</w:t>
            </w:r>
          </w:p>
        </w:tc>
        <w:tc>
          <w:tcPr>
            <w:tcW w:w="17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r>
      <w:tr>
        <w:trPr>
          <w:trHeight w:val="20"/>
        </w:trPr>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4,032</w:t>
            </w:r>
          </w:p>
        </w:tc>
      </w:tr>
      <w:tr>
        <w:trPr>
          <w:trHeight w:val="210"/>
        </w:trPr>
        <w:tc>
          <w:tcPr>
            <w:tcW w:w="4100" w:type="dxa"/>
            <w:vAlign w:val="bottom"/>
            <w:tcBorders>
              <w:top w:val="single" w:sz="8" w:color="CFF0FC"/>
            </w:tcBorders>
          </w:tcPr>
          <w:p>
            <w:pPr>
              <w:spacing w:after="0"/>
              <w:rPr>
                <w:sz w:val="18"/>
                <w:szCs w:val="18"/>
                <w:color w:val="auto"/>
              </w:rPr>
            </w:pPr>
          </w:p>
        </w:tc>
        <w:tc>
          <w:tcPr>
            <w:tcW w:w="17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6"/>
        </w:trPr>
        <w:tc>
          <w:tcPr>
            <w:tcW w:w="4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fair value of financial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227,359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57,495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284,854</w:t>
            </w:r>
          </w:p>
        </w:tc>
      </w:tr>
      <w:tr>
        <w:trPr>
          <w:trHeight w:val="196"/>
        </w:trPr>
        <w:tc>
          <w:tcPr>
            <w:tcW w:w="4100" w:type="dxa"/>
            <w:vAlign w:val="bottom"/>
            <w:tcBorders>
              <w:top w:val="single" w:sz="8" w:color="CFF0FC"/>
            </w:tcBorders>
          </w:tcPr>
          <w:p>
            <w:pPr>
              <w:spacing w:after="0"/>
              <w:rPr>
                <w:sz w:val="17"/>
                <w:szCs w:val="17"/>
                <w:color w:val="auto"/>
              </w:rPr>
            </w:pPr>
          </w:p>
        </w:tc>
        <w:tc>
          <w:tcPr>
            <w:tcW w:w="17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r>
      <w:tr>
        <w:trPr>
          <w:trHeight w:val="630"/>
        </w:trPr>
        <w:tc>
          <w:tcPr>
            <w:tcW w:w="410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-4876800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-4876800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-4876800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-4594225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-4577080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-4594225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-4577080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-4594225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-4577080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-2193925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-2193925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-2193925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-1628140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-1628140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-1628140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-1344930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-1327785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-1344930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-1327785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-1344930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-1327785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Cash equivalents include debt securities that have a maturity of three months or less from the original acquisition date. The Company’s money market funds and treasury bills are classified using Level 1 inputs within the fair value hierarchy because they are valued using quoted market prices. Treasury bills and U.S. government bonds are included within Level 1 of the fair value hierarchy because they are valued using quoted market prices. Corporate debt securities, commercial paper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amortized costs, gross unrealized gains, gross unrealized losses, and estimated fair values by significant investment category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220,998</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220,998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Treasury bill</w:t>
            </w:r>
          </w:p>
        </w:tc>
        <w:tc>
          <w:tcPr>
            <w:tcW w:w="1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18,002</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241,505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241,487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Treasury bill</w:t>
            </w:r>
          </w:p>
        </w:tc>
        <w:tc>
          <w:tcPr>
            <w:tcW w:w="1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73,066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37,276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37,253</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8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24,057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24,036</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Less than 1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98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141,473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141,417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198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 to 2 years</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 to 2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98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198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384,658</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384,584</w:t>
            </w:r>
          </w:p>
        </w:tc>
        <w:tc>
          <w:tcPr>
            <w:tcW w:w="0" w:type="dxa"/>
            <w:vAlign w:val="bottom"/>
          </w:tcPr>
          <w:p>
            <w:pPr>
              <w:spacing w:after="0"/>
              <w:rPr>
                <w:sz w:val="1"/>
                <w:szCs w:val="1"/>
                <w:color w:val="auto"/>
              </w:rPr>
            </w:pPr>
          </w:p>
        </w:tc>
      </w:tr>
      <w:tr>
        <w:trPr>
          <w:trHeight w:val="629"/>
        </w:trPr>
        <w:tc>
          <w:tcPr>
            <w:tcW w:w="350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-933450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-916305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-933450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-916305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-933450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-916305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182,234</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182,234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 months or less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188,612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188,612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41,014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41,093</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11,613</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32,941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corporate debt securities</w:t>
            </w:r>
          </w:p>
        </w:tc>
        <w:tc>
          <w:tcPr>
            <w:tcW w:w="2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 than 1 year</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09"/>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92,112</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92,210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bonds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to 2 years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9"/>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financial assets</w:t>
            </w:r>
          </w:p>
        </w:tc>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284,732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284,854</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-864870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-864870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-864870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does not intend to sell the securities in an unrealized loss position and does not expect they will be required to sell the securities before maturity. No allowance for credit losses has been recognized as of March 31, 2026 or December 31, 2025. During the three months ended March 31, 2026 and 2025, the Company did not recognize any impairment losses related to investments.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accrued interest receivable of $1.9 million and $1.2 million, respectively, which was included in the prepaid expenses and other current assets financial statement line item in the condensed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warrants to purchase 31,690 shares of common stock were outstanding. These warrants are classified as a liability since the warrants meet the classification requirements for liability accounting pursuant to ASC 815. This liability is subject to remeasurement at each balance sheet date until the warrants are exercised or expire, and any change in fair value is recognized in the Company’s condensed statements of operations. The Company classifies the warrant liability within Level 3 of the fair value hierarchy as the assessed fair value is based on both observable and unobservable market inputs including the Company's stock price, risk-free rate, and volatility.</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changes in fair value of the warrant liability for the three months ended March 31, 2026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at December 31, 2025</w:t>
            </w:r>
          </w:p>
        </w:tc>
        <w:tc>
          <w:tcPr>
            <w:tcW w:w="61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53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4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at March 31, 2026</w:t>
            </w:r>
          </w:p>
        </w:tc>
        <w:tc>
          <w:tcPr>
            <w:tcW w:w="614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21"/>
                <w:szCs w:val="21"/>
                <w:color w:val="auto"/>
              </w:rPr>
            </w:pPr>
          </w:p>
        </w:tc>
      </w:tr>
      <w:tr>
        <w:trPr>
          <w:trHeight w:val="629"/>
        </w:trPr>
        <w:tc>
          <w:tcPr>
            <w:tcW w:w="3960" w:type="dxa"/>
            <w:vAlign w:val="bottom"/>
            <w:tcBorders>
              <w:top w:val="single" w:sz="8" w:color="CFF0FC"/>
            </w:tcBorders>
          </w:tcPr>
          <w:p>
            <w:pPr>
              <w:spacing w:after="0"/>
              <w:rPr>
                <w:sz w:val="24"/>
                <w:szCs w:val="24"/>
                <w:color w:val="auto"/>
              </w:rPr>
            </w:pPr>
          </w:p>
        </w:tc>
        <w:tc>
          <w:tcPr>
            <w:tcW w:w="5300" w:type="dxa"/>
            <w:vAlign w:val="bottom"/>
            <w:tcBorders>
              <w:top w:val="single" w:sz="8" w:color="CFF0FC"/>
            </w:tcBorders>
          </w:tcPr>
          <w:p>
            <w:pPr>
              <w:jc w:val="right"/>
              <w:ind w:right="345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9"/>
        </w:trPr>
        <w:tc>
          <w:tcPr>
            <w:tcW w:w="7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7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-454025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less than $0.1 million for each of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9"/>
        </w:trPr>
        <w:tc>
          <w:tcPr>
            <w:tcW w:w="7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7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4,352</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8,480</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2022, the Company entered into a loan and security agreement (the “Loan Agreement”) with SVB Innovative Credit Growth Fund IX, LP and Innovative Credit Growth Fund VIII-A, LP, (collectively, the “Lenders”) pursuant to which the Company was eligible to borrow, and the Lenders are obligated to fund, up to $25.0 million in borrowing capacity across two potential tranches (the “Term Loan”).</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Commencing on November 1, 2023, the Company was required to make monthly principal payments. The Company was required to pay a final payment fee equal to 4.4% of the total amount borrowed.</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Debt issuance costs, including the fair value of the warrants issued in connection with the Term Loan (see Note 2, Fair Value Measurements), were treated as debt discounts in the condensed consolidated balance sheet and together with the final payment were amortized to interest expense over the life of the Term Loan using the effective interest rate method. As of March 31, 2026, there were unamortized issuance costs and debt discounts of less than $0.1 million, which are recorded as a direct deduction from the Term Loan in the condensed consolidated balance sheet. Interest expense related to the Loan Agreement was less than $0.1 million and $0.3 million for the three months ended March 31, 2026 and 2025, respectively. As of March 31, 2026, the stated rate on the Term Loan was 10.75%. As of March 31, 2026, the effective interest rate on the Term Loan, including the amortization of the debt discount and accretion of the final payment, was 15.4% for the Initial Term Loan and 13.8% for the Additional Term Loan. The carrying amount of the Term Loan was subject to variable interest rates, which were based on market rates, and as such, approximated fair value. The Term Loan matured on April 1, 2026, at which time the Company repaid all outstanding principal, accrued interest and the final payment fee in full.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the Term Loan balance were (in thousands):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9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loan balance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Final fee</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659</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1,159</w:t>
            </w:r>
          </w:p>
        </w:tc>
      </w:tr>
      <w:tr>
        <w:trPr>
          <w:trHeight w:val="459"/>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March 31, 2026, the future principal payments under the Term Loan are as follows (in thousands):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7"/>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Total Principal</w:t>
            </w:r>
          </w:p>
        </w:tc>
      </w:t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Payments</w:t>
            </w:r>
          </w:p>
        </w:tc>
      </w:tr>
      <w:tr>
        <w:trPr>
          <w:trHeight w:val="20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Term Loan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Capital Structure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500,000,000 shares of common stock authorized as of March 31, 2026 and December 31, 2025. As of March 31, 2026 and December 31, 2025, there were 10,000,000 shares of preferred stock authorized and no preferred shares issued and outstanding. Common stock reserved for future issuance as of March 31, 2026 and December 31, 2025,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80" w:type="dxa"/>
            <w:vAlign w:val="bottom"/>
          </w:tcPr>
          <w:p>
            <w:pPr>
              <w:spacing w:after="0"/>
              <w:rPr>
                <w:sz w:val="20"/>
                <w:szCs w:val="20"/>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9,291,433</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7,914,058</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authorized for future issuance</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2,402,910</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2,128,767</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and outstanding</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31,690</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31,690</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11,726,033</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10,074,515</w:t>
            </w:r>
          </w:p>
        </w:tc>
      </w:tr>
      <w:tr>
        <w:trPr>
          <w:trHeight w:val="20"/>
        </w:trPr>
        <w:tc>
          <w:tcPr>
            <w:tcW w:w="76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its stock option plans, the Company’s board of directors may grant stock options to employees, directors and consultants. The Company issued stock options under the 2015 Equity Incentive Plan, as amended (the “2015 Plan”) until September 2024, when the 2024 Equity Incentive Plan (the “2024 Plan”) was adopted. There are no remaining shares available to be granted under the 2015 Plan. There were 4,197,064 and 5,094,369 stock options outstanding under the 2015 Plan and 2024 Plan, respectively, as of March 31, 2026.</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2024 Plan authorizes the award of incentive stock options ("ISOs"), which are intended to qualify for tax treatment under Section 422 of the U.S. Internal Revenue Code of 1986, as amended, and nonqualified stock options, Restricted Stock Awards, Stock Appreciation Rights, Restricted Stock Units (each as defined in the 2024 Plan), performance awards and stock bonus awards (each as defined in the 2024 Plan). The 2024 Plan initially reserved 3,650,000 shares of the Company's common stock, which includes any reserved shares not issued or subject to outstanding grants under the 2015 Plan on the effective date of the 2024 Plan, for issuance pursuant to awards granted under our 2024 Plan. The number of shares reserved for issuance under the 2024 Plan will increase automatically on January 1 of each of the first ten calendar years during the term of the 2024 Plan by the number of shares equal to the lesser of 5% of the aggregate number of all classes of the Company's common stock and the total number of shares of the Company's common stock subject to any pre-funded warrants, in each case, as issued and outstanding as of the immediately preceding December 31, or a number as may be determined by the Company's board of directors. Pursuant to the 2024 Plan, ISOs may be granted only to employees of the Company. The Company may grant all other types of awards to its employees, directors and consultants.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2,402,910 shares were available for future grants under the 2024 Plan. The 2024 Plan permits the granting of incentive stock options, non-statutory stock options, stock awards, and stock purchase rights. The terms of the agreements are determined by the board of directors. The Company’s stock options have a maximum term of 10 years and vest based on the terms in the agreements, generally over 4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06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Value (in</w:t>
            </w:r>
          </w:p>
        </w:tc>
      </w:tr>
      <w:tr>
        <w:trPr>
          <w:trHeight w:val="238"/>
        </w:trPr>
        <w:tc>
          <w:tcPr>
            <w:tcW w:w="5060" w:type="dxa"/>
            <w:vAlign w:val="bottom"/>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7,914,058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46,246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(217,827)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2026</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9,291,433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75,326</w:t>
            </w:r>
          </w:p>
        </w:tc>
      </w:tr>
      <w:tr>
        <w:trPr>
          <w:trHeight w:val="20"/>
        </w:trPr>
        <w:tc>
          <w:tcPr>
            <w:tcW w:w="50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Exercisable-March 31, 2026</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4,003,281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36,011</w:t>
            </w:r>
          </w:p>
        </w:tc>
      </w:tr>
      <w:tr>
        <w:trPr>
          <w:trHeight w:val="20"/>
        </w:trPr>
        <w:tc>
          <w:tcPr>
            <w:tcW w:w="50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the stock options that were exercised during the three months ended March 31, 2026 was $2.4 million. There were no stock options exercised during the three months ended March 31, 2025.</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2026 and 2025 was $15.94 and $3.66, respectively, and were estimated on the date of grant using a Black-Scholes option pricing model with the following weighted-average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368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560" w:type="dxa"/>
            <w:vAlign w:val="bottom"/>
          </w:tcPr>
          <w:p>
            <w:pPr>
              <w:spacing w:after="0"/>
              <w:rPr>
                <w:sz w:val="20"/>
                <w:szCs w:val="20"/>
                <w:color w:val="auto"/>
              </w:rPr>
            </w:pPr>
          </w:p>
        </w:tc>
        <w:tc>
          <w:tcPr>
            <w:tcW w:w="232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tcBorders>
              <w:bottom w:val="single" w:sz="8" w:color="auto"/>
            </w:tcBorders>
          </w:tcPr>
          <w:p>
            <w:pPr>
              <w:spacing w:after="0"/>
              <w:rPr>
                <w:sz w:val="20"/>
                <w:szCs w:val="20"/>
                <w:color w:val="auto"/>
              </w:rPr>
            </w:pPr>
          </w:p>
        </w:tc>
      </w:tr>
      <w:tr>
        <w:trPr>
          <w:trHeight w:val="210"/>
        </w:trPr>
        <w:tc>
          <w:tcPr>
            <w:tcW w:w="7560" w:type="dxa"/>
            <w:vAlign w:val="bottom"/>
          </w:tcPr>
          <w:p>
            <w:pPr>
              <w:spacing w:after="0"/>
              <w:rPr>
                <w:sz w:val="18"/>
                <w:szCs w:val="18"/>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stock options (in years)</w:t>
            </w:r>
          </w:p>
        </w:tc>
        <w:tc>
          <w:tcPr>
            <w:tcW w:w="23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6.0 years</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expected stock price volatility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Estimated dividend yield</w:t>
            </w:r>
          </w:p>
        </w:tc>
        <w:tc>
          <w:tcPr>
            <w:tcW w:w="2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statements of operations and comprehensive loss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r>
      <w:tr>
        <w:trPr>
          <w:trHeight w:val="238"/>
        </w:trPr>
        <w:tc>
          <w:tcPr>
            <w:tcW w:w="5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1,474</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2,161</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4,256</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2,949</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was $45.0 million of unrecognized compensation cost that is expected to be recognized over a weighted 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2024, the Company adopted the 2024 Employee Stock Purchase Plan (the "2024 ESPP"). The 2024 ESPP enables eligible employees to purchase shares of the Company's common stock with accumulated payroll deductions. The Company has initially reserved 330,000 shares of its common stock for sale under the 2024 ESPP. The aggregate number of shares issued over the term of the 2024 ESPP, subject to stock-splits, recapitalizations or similar events, may not exceed 3,300,000 shares of the Company's common stock. As of March 31, 2026, there were a total of 1,062,369 shares available for future purchase under the 2024 ESPP.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entered into indemnification agreements with directors and certain officers that will require the Company, among other things, to indemnify them against certain liabilities that may arise by reason of their status or service as directors or officers. No demands have been made upon the Company to provide indemnification under such agreements, and thus, there are no claims that the Company is aware of that could have a material effect on the unaudited condensed consolidated financial statements. The Company also maintains director and officer insurance, which may cover certain liabilities arising from the Company’s obligation to indemnify its directors and officers. To date, the Company has not incurred any costs and has not accrued any liabilities in the unaudited condensed consolidated financial statements as a result of these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7, 2025, a putative securities class action complaint was filed against the Company and certain of its officers and directors in the United States District Court for the Northern District of California (the "Court"). The complaint alleged violations of Section 11 and Section 15 of the Securities Act of 1933, based on allegations that defendants misrepresented and/or omitted certain information in the Company’s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prejudice. On March 27, 2026, the plaintiff filed a notice of appeal of the Court’s order granting defendants’ motion to dismiss. The United States Court of Appeals for the Ninth Circuit has set the deadline for the plaintiff’s opening brief for June 22, 2026.</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is subject to legal proceedings. The Company accrues a liability for such matters when it is probable that a liability has been incurred and that the amount can be reasonably estimated. Legal fees and other costs associated with such proceedings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2017, the Company entered into an agreement to lease office and lab space in Richmond, California, which the Company used for its corporate offices and research facility (the “Richmond Lease”). The Richmond Lease expired in August 2025. The Company recognized rent expense on a straight-line basis over the lease term.</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entered into an agreement to lease approximately 10,479 square feet of office and lab space in Emeryville, California (the "Emeryville Lease"). The Emeryville Lease commenced on February 25, 2025, as that was the date that the Company obtained control over the facility. The Emeryville Lease has an initial term of six years, ending in February 2031. The Emeryville Lease includes escalating rent payments and includes an option to extend the lease term for an additional five years. The Company is not reasonably certain to exercise the option to extend the lease term. The Company recognizes rent expense on a straight-line basis over the lease term. The Emeryville Lease does not provide a bargain purchase option nor does it transfer ownership at any point during the lease to the Company and is classified as an operating lease.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Emeryville Lease remaining lease term was 4.9 years and the discount rate used to determine the operating lease liability was 11.6%.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lease expense was $0.2 million and $0.1 million for the three months ended March 31, 2026 and 2025, respectively. Cash paid for amounts included in the measurement of operating lease liabilities was $0.1 million for each of the three months ended March 31, 2026 and 2025 and was included in net cash used in operating activities in the Company’s condensed consolidated statement of cash flows. Variable lease payments related to operating leases for the three months ended March 31, 2026 and 2025 were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March 31, 2026, maturities of lease liabilities were as follows: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3,830</w:t>
            </w: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w:t>
            </w: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Pharma AG Collaboration Agreement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16, 2024, the Company entered into a collaboration agreement with Novartis Pharma AG ("Novartis") to identify and validate novel therapeutic drug targets by investigating the biological mechanisms that drive diseases related to aging and mediate the beneficial effects of physical exercise (the "Novartis Agreement").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Novartis Agreement, the Company is obligated to perform additional analyses on the Company's longitudinal human aging cohort datasets, to expand data included in the Company's discovery platform, and perform other activities to enable the identification and validation of novel therapeutic drug targets. The Company has determined these activities represent a single performance obligation.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under the Novartis Agreement, the Company has received and may receive upfront payments and research funding of up to $20.0 million, and up to $530.0 million in future long-term research, development, and commercial milestones. The Company and Novartis each have the right to advance novel targets discovered under the Novartis Agreement and are each eligible to receive reciprocal success milestones and receive tiered royalties on net sales of licensed products.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of $2.8 million and $1.5 million was recognized under the Novartis Agreement in the three months ended March 31, 2026 and 2025. During the three months ended March 31, 2026, the Company recorded $2.1 million in revenue that was included in deferred revenue as of December 31, 2025 and $0.7 million in revenue related to research funding for reimbursable costs incurred during the three months ended March 31, 2026. Deferred revenue related to the Novartis Agreement amounted to $6.2 million and $5.8 million as of March 31, 2026, and December 31, 2025, respectively, all of which was included in current liabilities within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2026. The Company incurred losses for the three months ended March 31, 2026 and expects to continue to incur losses through the remainder of the year ending December 31, 2026, resulting in an estimated net loss for both financial statement and tax purposes. Therefore, no federal, state or foreign income taxes are expected and none have been recorded for the three months ended March 31, 2026.</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of March 31, 2026, the Company had no unrecognized tax benefits that would reduce the Company’s effective tax rate if recognized.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Net Loss Per Share Attributable to Common Stockholders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(in thousands except for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09"/>
        </w:trPr>
        <w:tc>
          <w:tcPr>
            <w:tcW w:w="6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5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6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per share attributable to common stockholders, basic and diluted</w:t>
            </w:r>
          </w:p>
        </w:tc>
        <w:tc>
          <w:tcPr>
            <w:tcW w:w="9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42,480,488</w:t>
            </w:r>
          </w:p>
        </w:tc>
        <w:tc>
          <w:tcPr>
            <w:tcW w:w="1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35,850,037</w:t>
            </w:r>
          </w:p>
        </w:tc>
      </w:tr>
      <w:tr>
        <w:trPr>
          <w:trHeight w:val="250"/>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attributable to common stockholders as the effect would be antidilutive. Therefore, the weighted-average number of shares of common stock outstanding used to calculate both basic and diluted net loss per share attributable to common stockholders is the same. Potentially dilutive securities that were not included in the diluted per share calculations because they would be anti-dilutive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700" w:type="dxa"/>
            <w:vAlign w:val="bottom"/>
          </w:tcPr>
          <w:p>
            <w:pPr>
              <w:spacing w:after="0"/>
              <w:rPr>
                <w:sz w:val="20"/>
                <w:szCs w:val="20"/>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9,291,433</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7,974,756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31,690</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31,690</w:t>
            </w:r>
          </w:p>
        </w:tc>
      </w:tr>
      <w:tr>
        <w:trPr>
          <w:trHeight w:val="24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9,323,123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8,006,446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Benefit Plan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under which employee contributions are voluntary and are determined on an individual basis, limited by the maximum amounts allowable under federal tax regulations. The Company provides an automatic matching contribution of employee contributions into the plan up to a maximum of 4% of employee deferral. The Company’s matching contributions to employees were $0.2 million for each of the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one reportable segment, which is the business of extending healthy human life by targeting molecular causes of aging.</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CODM is its chief executive officer. When evaluating the Company's financial performance, the CODM reviews total operating expenses and expense by function to make decisions on a company-wide basis.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single reportable segment entity, the determined measure of profit or loss is the Company’s consolidated net income (loss). Consolidated asset information for the Company’s single reportable segment is presented in the Company’s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net loss, including significant segment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4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3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2,772</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 program costs</w:t>
            </w:r>
          </w:p>
        </w:tc>
        <w:tc>
          <w:tcPr>
            <w:tcW w:w="3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4,629</w:t>
            </w: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3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4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7,737</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r>
      <w:tr>
        <w:trPr>
          <w:trHeight w:val="20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and segment expenses</w:t>
            </w:r>
          </w:p>
        </w:tc>
        <w:tc>
          <w:tcPr>
            <w:tcW w:w="43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w:t>
            </w: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3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3,518</w:t>
            </w:r>
          </w:p>
        </w:tc>
      </w:tr>
      <w:tr>
        <w:trPr>
          <w:trHeight w:val="24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43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(12,928)</w:t>
            </w:r>
          </w:p>
        </w:tc>
      </w:tr>
      <w:tr>
        <w:trPr>
          <w:trHeight w:val="628"/>
        </w:trPr>
        <w:tc>
          <w:tcPr>
            <w:tcW w:w="4400" w:type="dxa"/>
            <w:vAlign w:val="bottom"/>
            <w:tcBorders>
              <w:top w:val="single" w:sz="8" w:color="CFF0FC"/>
            </w:tcBorders>
          </w:tcPr>
          <w:p>
            <w:pPr>
              <w:spacing w:after="0"/>
              <w:rPr>
                <w:sz w:val="24"/>
                <w:szCs w:val="24"/>
                <w:color w:val="auto"/>
              </w:rPr>
            </w:pPr>
          </w:p>
        </w:tc>
        <w:tc>
          <w:tcPr>
            <w:tcW w:w="334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-1508125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-1225550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-934085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-916940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consolidated financial statements and the related notes and other financial information included elsewhere in this Quarterly Report and with our audited financial statements and the notes thereto for the year ended December 31, 2025 included in Form 10-K filed with the Securities and Exchange Commission on March 24, 2026. This discussion and analysis and other parts of this Quarterly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Quarterly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therapeutic product candidates for cardiometabolic diseases by targeting the biology of human aging. Our technology platform and differentiated human datasets enable us to identify promising targets based on insights into molecular changes that drive aging.</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lead program, BGE-102, is a potent, structurally novel, orally available, brain-penetrant small-molecule NLRP3 inhibitor. BGE-102 has a distinct mechanism and binding site from other NLRP3 inhibitors in development with issued patents covering both composition of matter and claims for the unique binding site.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advance BGE-102 in two therapeutic areas: cardiometabolic disease and ophthalmology.</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2026, we reported results from the full Phase 1 Single Ascending Dose (SAD) / Multiple Ascending Dose (MAD) clinical trial of BGE-102, including a newly announced 60 mg once-daily cohort dosed for 21 days in participants with obesity and elevated inflammation, demonstrating potential best-in-class reductions in high-sensitivity C-reactive protein (hsCRP) and consistent reductions across multiple inflammatory biomarkers with a favorable tolerability profile. BGE-102 was well tolerated across all dose levels evaluated; all treatment-emergent adverse events were mild to moderate and self-limited, with no dose dependency, no serious adverse events, no discontinuations due to adverse events, and no clinically meaningful adverse changes in vital signs, ECGs, or laboratory values. In the Phase 1 SAD / MAD study, BGE-102 demonstrated rapid, profound, and sustained hsCRP reductions at both evaluated dose levels in participants with obesity and elevated baseline hsCRP. At 120 mg once daily for 14 days, BGE-102 demonstrated an 86% median reduction in hsCRP at Day 14, with 93% of participants on active treatment (13/14) achieving hsCRP levels below 2 mg/L — the threshold associated with a 25% reduction in major adverse cardiovascular events — and 71% (10/14) reaching hsCRP at or below 1 mg/L. At 60 mg once daily for 21 days, BGE-102 achieved an 86% median reduction in hsCRP at Day 21, with 87% of participants on active treatment (13/15) achieving hsCRP below 2 mg/L and 60% (9/15) reaching hsCRP at or below 1 mg/L. This level of hsCRP reduction is comparable to injectable anti-IL-6 monoclonal antibodies in clinical development for atherosclerotic cardiovascular disease (ASCVD), but achieved with once-daily oral dosing. BGE-102 also produced consistent reductions in IL-6 (up to 78% at 60 mg and 69% at 120 mg) and fibrinogen (approximately 19–23% at 60 mg and 24–30% at 120 mg), at both dose levels.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first therapeutic area for BGE-102 is cardiometabolic disease, with a focus on ASCVD risk reduction. Chronic systemic inflammation, as measured by hsCRP, is an independent risk factor for cardiovascular events that is not adequately addressed by current lipid-lowering and antihypertensive therapies. We plan to initiate a Phase 2 dose-ranging proof-of-concept trial evaluating BGE-102 in participants with elevated cardiovascular risk in mid-2026, with data anticipated by end of year. The trial will assess three oral once-daily dose levels with change in hsCRP as the primary endpoint. The trial is designed to support optimal dose selection for Phase 3.</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second therapeutic area for BGE-102 is ophthalmology. Diabetic macular edema (DME) is our first proof-of-concept indication in this area. DME affects approximately 1 million patients in the United States, and current intravitreal therapies face significant unmet need due to high injection burden and a substantial refractory population — approximately 45% of patients demonstrate refractoriness to anti-vascular endothelial growth factor (VEGF) therapy. In a preclinical model of DME, oral BGE-102 demonstrated dose-dependent preservation of retinal vascular integrity, achieving near-complete protection from vascular leakage and up to 90% preservation of microvascular integrity. We plan to initiate a Phase 1b/2a proof-of-concept trial in DME in mid-2026 with results anticipated in mid-2027. The goal is to demonstrate ocular target engagement, supporting future development across inflammation-driven retinal diseases.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Beyond NLRP3 inhibition, we are also developing novel apelin receptor APJ agonists for obesity, including long-acting injectable and oral small-molecule APJ agonist programs. In preclinical obesity models, APJ agonism has demonstrated the ability to more than double the weight loss induced by a glucagon-like peptide-1 receptor (GLP-1R) agonist while also restoring healthy body composition and improving muscle function. In June 2025, we announced an option agreement with JiKang Therapeutics for a novel APJ agonist antibody, as well as the filing of a U.S. provisional patent for novel small molecule APJ agonists. We intend to file the first Investigational New Drug application (IND) for an APJ program by 2026 year end.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also advancing earlier stage platform-derived programs in collaboration with Eli Lilly and Company (Lilly), and have an ongoing target discovery collaboration with Novartis Pharma AG (Novartis).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product candidates and ongoing collaborations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25114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of our efforts to organizing and staffing our company, business planning, raising capital, establishing our intellectual property portfolio, acquiring or discovering product candidates, research and development activities for our product candidates, establishing arrangements with third parties for the manufacture of our product candidates and component materials, and providing general and administrative support for these operations. We do not have any products approved for sale and have not generated any revenue from product sales. Our primary uses of capital are, and we expect will continue to be, research and development services, compensation and related expenses and general overhead costs.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Our ability to generate product revenue sufficient to achieve profitability will depend heavily on the successful development and eventual commercialization of any future product candidates. Our net losses were $22.3 million and $12.9 million for the three months ended March 31, 2026 and 2025, respectively. As of March 31, 2026, we had an accumulated deficit of $355.7 million. We expect to continue to incur net operating losses for the foreseeable future, and we expect our research and development expenses, general and administrative expenses, and capital expenditures will increase substantially in connection with our ongoing activities, particularly if, and as, we:</w:t>
      </w:r>
    </w:p>
    <w:p>
      <w:pPr>
        <w:spacing w:after="0" w:line="7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lead product candidate, BGE-102;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preclinical, clinical and potentially commercial supplies of BGE-102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BGE-102 or for any future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BGE-102 or any future product candidates, if approved;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evaluate and establish licenses, collaborations or other strategic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scientific and management personnel, as well as administrative staff to support the growth of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net losses may fluctuate significantly from period to period, depending on the timing of factors above.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BGE-102 or a future product candidate. In addition, if we obtain regulatory approval for BGE-102 or a future product candidate and do not enter into a third-party commercialization partnership, we expect to incur significant expenses related to developing our commercialization capability to support product sales, marketing, manufacturing and distribution activities.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if ever, as we can generate substantial product revenues, we expect to finance our cash needs through equity offerings, debt financings or other capital sources, which could include licenses, collaborations, or other strategic partnerships.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 Our ability to raise additional funds may also be adversely impacted by potential worsening global macroeconomic, industry and market conditions in either domestic or international markets, as well as economic conditions specifically affecting industries in which we operate, including but not limited to, actual or perceived instability in the banking industry, potential uncertainty with respect to the U.S. federal debt ceiling and budget and any future government shutdowns related thereto, labor shortages, supply chain disruptions, potential recession, inflation and changing interest rates, significant trade or regulatory developments, including tariffs or shifting priorities within the U.S. Food and Drug Administration, and political instability and military hostilities in multiple geographies, such as the conflicts in Ukraine, Venezuela, Iran, tensions between China and Taiwan and the possibility of a wider Middle Eastern, European or global conflict.</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development of product candidates,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oversee and manage third party Contract Development and Manufacturing Organizations (CDMOs) to support development and manufacture of our future product candidates. We expect to enter into commercial supply agreements with commercial manufacturers prior to any potential regulatory approval of any future product candidates. We believe our current manufacturers are able to supply the upcoming preclinical and clinical trials of future product candidates. Additional CDMOs may be on-boarded at later stages of clinical and commercial development for future product candidates.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$384.9 million in cash, cash equivalents, and marketable securities. Based on our current operating plan, we estimate that our existing cash, cash equivalents, and marketable securities as of the filing date of this Quarterly Report will be sufficient to fund our operations and capital expenses through 2029. However, we have based this estimate on assumptions that may prove to be wrong, and we could exhaust our available capital resources sooner than we expect. See the section titled "Liquidity and Capital Resources" included elsewhere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Novartis Pharma AG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16, 2024, we entered into a collaboration agreement with Novartis to identify and validate novel therapeutic drug targets by investigating the biological mechanisms that drive diseases related to aging and mediate the beneficial effects of physical exercise (the "Novartis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Novartis Agreement, we are obligated to perform additional analyses on our longitudinal human aging cohort datasets, to expand data included in our discovery platform, and perform other activities to enable the identification and validation of novel therapeutic drug targets.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under the Novartis Agreement, we have received and may receive upfront payments and research funding of up to $20.0 million, and up to $530.0 million in future long-term research, development, and commercial milestones. We and Novartis each have the right to advance novel targets discovered under the Novartis Agreement and are each eligible to receive reciprocal success milestones and receive tiered royalties on net sales of licensed products.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of $2.8 million and $1.5 million was recognized under the Novartis Agreement in the three months ended March 31, 2026 and 2025. During the three months ended March 31, 2026, we recorded $2.1 million in revenue that was included in deferred revenue as of December 31, 2025 and $0.7 million in revenue related to research funding for reimbursable costs incurred during the three months ended March 31, 2026. Deferred revenue related to the Novartis Agreement amounted to $6.2 million and $5.8 million as of March 31, 2026, and December 31, 2025, respectively, all of which was included in current liabilities within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product revenue since our inception and do not expect to generate any revenue from the sale of products in the near future, if at all. If our development efforts for BGE-102 or other product candidates that we may develop in the future are successful and result in marketing approval, we may generate revenue from product sales.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recognized, and expect to recognize, collaboration revenue in the future from the Novartis Agreement, which may include amounts related to upfront payments, milestone payments, and research and development funding.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costs incurred in connection with the discovery, preclinical development, clinical development and manufacturing of our lead product candidate, BGE-102, and other potential future product candidates, and include: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Direct Costs:</w:t>
      </w:r>
    </w:p>
    <w:p>
      <w:pPr>
        <w:spacing w:after="0" w:line="229" w:lineRule="exact"/>
        <w:rPr>
          <w:sz w:val="20"/>
          <w:szCs w:val="20"/>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our clinical trials; CDMOs that are primarily engaged to provide drug substance and product for our clinical trials and preclinical studies, research and development programs, as well as investigative sites and consultants that conduct our clinical trials, preclinical studies and other scientific development services;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preclinical and 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Indirect Costs:</w:t>
      </w:r>
    </w:p>
    <w:p>
      <w:pPr>
        <w:spacing w:after="0" w:line="229"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stock-based compensation expenses and other related costs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other expenses not directly tied to a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development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to date have been third-party direct costs, which we disclose on an individual product candidate basis after the completion of IND-enabling activities for that product candidate. However, our indirect costs are not directly tied to any one program and are deployed across our programs. As such, we do not track these costs on a specific program basis. We utilize third party contractors for our research and development activities and CDMOs for our manufacturing activities and we do not have our own manufacturing facilities.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progress BGE-102 into additional clinical trials, continue to discover and develop additional product candidates, expand our headcount and costs related to our existing and potential future intellectual property licenses. Later stages of clinical development generally have higher development costs than those in earlier stages, primarily due to the increased size and duration of later-stage clinical trials. There are numerous factors associated with the successful development and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may vary significantly in the future based on factors, such as:</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IND-enabling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or license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choose to partner any of our product candidates and the terms of such partnership.</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Changes in the outcome of any of these variables with respect to the development of our lead product candidate, BGE-102, or any future product candidates in preclinical and clinical development could mean a significant change in the costs and timing associated with the development of these product candidates. For example, if the FDA, European Medicines Agency or another regulatory authority were to delay our planned start of clinical trials or require us to conduct clinical trials or other testing beyond those that we currently expect, or if we experience significant delays in enrollment in any clinical trials following the applicable regulatory authority’s acceptance and clearance, we could be required to expend significant additional financial resources and time to complete clinical development than we currently expect. We may never obtain regulatory approval for any product candidates that we develop.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BGE-102 or any other product candidates we may develop in the future is highly uncertain. Therefore, we cannot reasonably estimate or know the nature, timing and estimated costs of the efforts that will be necessary to complete the development and commercialization of BGE-102, our APJ programs or any future product candidates we may develop. We are also unable to predict when, if ever, material net cash inflows will commence from the sale of BGE-102 or any future product candidate, if approved. This is due to the numerous risks and uncertainties associated with product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individuals in executive, finance, corporate, business development, and administrative functions. Other significant general and administrative expenses include legal fees relating to patent, intellectual property and corporate matters, and fees paid for accounting, consulting and other professional services, allocated expenses for rent, insurance and other operating costs.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continue to increase in the foreseeable future as our business expands to support our continued research and development activities, including any future clinical trials.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related to compliance with the rules and regulations of the SEC, listing standards applicable to companies listed on a national securities exchange, director and officer insurance premiums and investor relations costs. In addition, if we obtain regulatory approval for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incurred on our term loan.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primarily consist of interest income generated from interest bearing cash,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Changes in Fair Value of Warrants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Gain (loss) on changes in fair value consists of assessed changes in fair value of warrants to purchase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in each period or for our research and development tax credits, as we believe, based upon the weight of available evidence, that it is more likely than not that all of our net operating loss carryforwards and tax credits will not be realized. As of December 31, 2025, we had U.S. federal and state net operating loss carryforwards of $204.1 million and $15.9 million, respectively, which expire at various dates beginning in 2035. These attributes may be subject to Section 382 limitation and we have not performed a formal assessment. As of March 31, 2026 and December 31, 2025, we have recorded a full valuation allowance against our deferred tax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4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2,772</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20,410</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28,147</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17,897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(loss) from changes in fair value on warrants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-1010920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-1010920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-1010920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for the three months ended March 31, 2026 was $2.8 million, compared to $1.5 million for the three months ended March 31, 2025. The $1.3 million increase was due to increased full-time equivalent employee (FTE) effort under the Novartis Agreement, resulting in higher revenue recognized based on progress toward satisfaction of the related performance obligation.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4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azelaprag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BGE-102</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programs</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Indirect costs: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 (including stock-based compensation expense)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Allocated facility and other expenses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20,410</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$9.3 million from $11.1 million for the three months ended March 31, 2025 to $20.4 million for the three months ended March 31, 2026. The increase in research and development expenses was primarily attributable to a $5.7 million increase in direct costs related to our BGE-102 program associated with the completion of our Phase 1 SAD / MAD clinical trial, preparation for our planned Phase 2 dose-ranging proof-of-concept trial evaluating BGE-102 in participants with elevated cardiovascular risk and planned Phase 1b/2a proof-of-concept trial in DME, each expected to initiate in 2026, and drug-product manufacturing. Additionally contributing to the increase was a $3.6 million increase in direct costs for other programs, which was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primarily related to discovery and development activities related to our novel apelin receptor APJ agonist programs, and a $0.8 million increase in allocated facility and other expenses primarily driven by an increase in non-program specific consulting fees.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increases in research and development expense were partially offset by a $0.8 million reduction in azelaprag direct costs as development was terminated in January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$0.9 million from $6.8 million for the three months ended March 31, 2025 to $7.7 million for the three months ended March 31, 2026. The increase was primarily driven by a $0.6 million increase in personnel-related expenses, largely due to an increase in stock-based compensation expense associated with new option grants issued to employees, executives, board members and advisors, and a $0.4 million increase in legal fees, partially offset by a $0.1 million decrease in consulting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decreased by approximately $0.4 million from $3.5 million for the three months ended March 31, 2025 to $3.1 million for the three months ended March 31, 2026. This decrease in other income, net was primarily attributable to a $0.4 million decrease in interest income driven by lower interest rates during the period, resulting in reduced yields on cash, cash equivalents, and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 each period and on an aggregate basis. We have not yet commercialized any product candidates, and we do not expect to generate revenue from sales of any product candidates for the foreseeable future, if at all. As of March 31, 2026, we had $384.9 million in cash, cash equivalents, and marketable securities and we had an accumulated deficit of $355.7 million.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2022, we entered into a loan and security agreement (the Loan Agreement) with SVB Innovative Credit Growth Fund IX, LP and Innovative Credit Growth Fund VIII-A, LP pursuant to which we were able to borrow up to an aggregate of $25.0 million across two potential tranches until December 31, 2023 (the Term Loan). The Loan Agreement has a floating interest rate of the higher of the Wall Street Journal Prime rate plus 4.00% or 7.5%. The amounts borrowed under the Loan Agreement matured on April 1, 2026. We made a final payment fee equal to 4.4% of the total amount borrowed upon maturity. As of March 31, 2026, we had $0.5 million outstanding under the Loan Agreement. See Note 4 to our condensed consolidated financial statements included elsewhere in this Quarterly Report for further discussion of the Loan Agreement.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2025, we filed a shelf registration statement on Form S-3 (the Shelf Registration Statement) which became effective through the operation of law in November 2025. The Shelf Registration Statement permits the offering of up to $250.0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In connection with the Shelf Registration Statement, we entered into a Sales Agreement (the Sales Agreement) with Leerink Partners LLC (Leerink) relating to the applicable terms of at-the-market equity offerings (the ATM Facility) pursuant to which we may, but are not obligated to, offer and sell, from time to time, shares of our common stock with an aggregate offering price up to $75.0 million through Leerink, as sales agent in the ATM Facility.</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have sold an aggregate of 1,400,000 shares of our common stock through our ATM Facility pursuant to the Sales Agreement. The gross proceeds from these sales were approximately $17.6 million, before deducting sales agent commission and offering costs of approximately $0.5 million, resulting in net proceeds of approximately $17.1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we completed an underwritten public offering of our common stock, issuing 5,897,435 shares at a public offering price of $19.50 per share for net proceeds of $107.4 million, after underwriting discounts and commissions and offering costs (the January 2026 Public Offering). The January 2026 Public Offering included a 30-day option for the underwriters to purchase up to 884,615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8" w:name="page29"/>
    <w:bookmarkEnd w:id="2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2026, we issued 884,615 shares of our common stock upon exercise of the underwriters’ option in the January 2026 Public Offering, resulting in net proceeds of $16.2 million, net of underwriting discounts and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18"/>
                <w:szCs w:val="18"/>
                <w:color w:val="auto"/>
              </w:rPr>
            </w:pPr>
          </w:p>
        </w:tc>
      </w:tr>
      <w:tr>
        <w:trPr>
          <w:trHeight w:val="238"/>
        </w:trPr>
        <w:tc>
          <w:tcPr>
            <w:tcW w:w="6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Borders>
              <w:bottom w:val="single" w:sz="8" w:color="auto"/>
            </w:tcBorders>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7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(77,988)</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123,715</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1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52,889</w:t>
            </w:r>
          </w:p>
        </w:tc>
        <w:tc>
          <w:tcPr>
            <w:tcW w:w="11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(96,863)</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2026 was $24.0 million, and was primarily due to our net loss of $22.3 million and a $6.0 million change in operating assets and liabilities. These changes were partially offset by non-cash adjustments of $4.2 million, primarily consisting of $4.3 million of stock-based compensation expense, partially offset by accretion of investment discounts.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2025 was $17.4 million, and was primarily due to our net loss of $12.9 million and a $7.5 million change in operating assets and liabilities. These changes were partially offset by non-cash adjustments of $3.1 million, of which $2.9 million related to stock-based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$46.8 million during the three months ended March 31, 2026 and included cash outflows of $80.2 million related to the purchase of marketable securities, partially offset by $33.5 million in maturities of marketable securities.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$78.0 million during the three months ended March 31, 2025 and included cash outflows of $77.6 million related to the purchase of marketable securities as well as $0.4 million related to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2026 was $123.7 million resulting from $123.6 million in net proceeds from an underwritten public offering of our common stock and $1.7 million in stock option exercise proceeds, partially offset by $1.5 million in principal payments on our Term Loan and $0.1 million for the payment of deferred offering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2025 was $1.5 million due to principal payments on our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services, compensation and related expenses and general overhead costs. We expect to continue to incur significant expenses and operating losses for the foreseeable future.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as of the filing date of this Quarterly Report will be sufficient to fund our operations and capital expenses through 2029. However, we have based this estimate on assumptions that may prove to be wrong, and we could exhaust our available capital resources sooner than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regulatory submissions and timing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in the future enter into licenses, collaborations or other strategic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licenses, collaborations or other strategic partnerships with third parties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any future product candidates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to satisfy our obligations as a public company.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BGE-102 or any product or development candidate we may develop in the future could significantly change the costs and timing associated with our development plans. Further, our operating plans may change in the future, and we may need additional funds to meet operational needs and capital requirements associated with such operating plans.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equity offerings, debt financings or other capital sources, which could include licenses, collaborations, or other strategic partnerships.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lease office and lab space at our corporate headquarters in Emeryville, California (the Emeryville Lease). The Emeryville Lease is accounted for as an operating lease and expires on February 28, 2031. Non-cancellable base rent lease obligations as of March 31, 2026 were $3.8 million, of which $0.7 million is due within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Other Obligations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third-party vendors for preclinical research studies and testing, clinical trials and testing and manufacturing services. Most contracts do not contain minimum purchase commitments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and are cancellable by us upon written notice. Payments due upon cancellation consist of payments for services provided or expenses incurred, including non-cancelable obligations of our service provided up to one year after the date of cancellation.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Operations—Critical Accounting Policies and Estimates” in our Annual Report on Form 10-K. We have reviewed those critical accounting policies and estimates for the three months ended March 31, 2026. There have been no significant changes in our critical accounting policies and estimates from those disclosed in our Annual Report on Form 10-K for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Section 107(b) of the JOBS Act an “emerging growth company” can delay the adoption of new or revised accounting standards until such time as those standards would apply to private companies. We have elected this exemption to delay adopting new or revised accounting standards until such time as those standards apply to private companies. Where allowable we have early adopted certain standards as described in Note 1 of our unaudited condensed consolidated financial statements included elsewhere in this Quarterly Report. As a result, our unaudited condensed consolidated financial statements may not be comparable to companies that comply with the new or revised accounting pronouncements as of public company effective dates. We will continue to remain an “emerging growth company” until the earliest of the following: (i) the last day of the fiscal year following the fifth anniversary of the date of the completion of our IPO; (ii) the last day of the fiscal year in which our total annual gross revenue is equal to or more than $1.235 billion;</w:t>
      </w:r>
    </w:p>
    <w:p>
      <w:pPr>
        <w:spacing w:after="0" w:line="3" w:lineRule="exact"/>
        <w:rPr>
          <w:sz w:val="20"/>
          <w:szCs w:val="20"/>
          <w:color w:val="auto"/>
        </w:rPr>
      </w:pPr>
    </w:p>
    <w:p>
      <w:pPr>
        <w:ind w:right="20" w:firstLine="8"/>
        <w:spacing w:after="0" w:line="26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13a-15(f) or 15d-15(f) of the Exchange Act during the quarter ended March 31, 2026 that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7, 2025, a putative securities class action complaint was filed against us and certain of our officers and directors in the United States District Court for the Northern District of California (the "Court"). The complaint alleged violations of Section 11 and Section 15 of the Securities Act of 1933, based on allegations that defendants misrepresented and/or omitted certain information in our Registration Statement concerning azelaprag. An amended complaint was filed on June 2, 2025. On October 30, 2025, the Court entered an order granting defendants’ motion to dismiss without prejudice. On November 20, 2025, a further amended complaint was filed. On March 2, 2026, the Court entered an order granting defendants’ further motion to dismiss with prejudice. On March 27, 2026, the plaintiff filed a notice of appeal of the Court’s order granting defendants’ motion to dismiss. The United States Court of Appeals for the Ninth Circuit has set the deadline for the plaintiff’s opening brief for June 22, 2026.</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arising in the ordinary course of business. In the opinion of management, we do not believe that the matter described above, or any other pending legal proceedings, is material to our business, financial condition or results of operations. Regardless of the outcome, litigation can have an adverse impact on us due to defense and settlement costs, diversion of management resources, negative publicity and reputational harm.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Quarterly Report, including in the section titled “Management’s Discussion and Analysis of Financial Condition and Results of Operations” and in our unaudited condensed consolidated financial statements and the related notes included elsewhere in this Quarterly Report.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among others, the following: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future product candidates in combination with other therapies, which would expose us to additional risks.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clinical and regulatory capabilities and operations as we grow,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significantly or may fall below the expectations of investors or securities analysts, each of which may cause our stock price to fluctuate or decline.</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or publicity for one drug for atherosclerotic cardiovascular disease (ASCVD) risk reduction, diabetic macular edema (DME), or obesity could have a substantial impact on all drugs and product candidates for ASCVD risk reduction, DME, or obesity, including any potential product candidates we may have in the future.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securities litigation, which is expensive and could divert management attention.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Limited Operating History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on which to base your investment decision.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We commenced operations in 2015, have no products approved for commercial sale and have never generated any revenue. To date, we have devoted substantially all of our resources to identifying, acquiring and developing our product candidates and licensed technologies, building our pipeline, performing research,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with proceeds from sales of our redeemable convertible preferred stock, convertible notes, proceeds from the sale of our common stock, and stock option exercises. We have not yet demonstrated an ability to successfully complete any clinical trials beyond Phase 1. Additionally, we have not yet demonstrated an ability to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product revenue since our inception. If our future product candidates are not successfully developed, approved and commercialized, we may never generate significant revenue, if we generate any revenue at all. Our net losses were $22.3 million and $12.9 million for the three months ended March 31, 2026 and 2025, respectively. As of March 31, 2026, we had an accumulated deficit of $355.7 million. Substantially all of our losses have resulted from expenses incurred in connection with the development of, and in-licensing of intellectual property related to, our former product candidate azelaprag, the research and development of our NLRP3 programs, our longitudinal human aging platform, and from general and administrative costs associated with our operations. BGE-102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in connection with our planned and ongoing clinical trials for BGE-102, an NLRP3 inhibitor for patients with elevated cardiovascular risk or diabetic macular edema, our planned development of APJ agonists, and as we continue our development of, seek regulatory approval for and potentially commercialize BGE-102 or any future product candidates we may develop.</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identifying, discovering, developing, in-licensing or acquiring any future product candidates, completing clinical trials of our product candidates, obtaining regulatory approval for BGE-102 and any future product candidates, and manufacturing, marketing, and selling any products for which we may obtain regulatory approval. We are only in the preliminary stages of these activities. We may never succeed in these activities and, even if we do, may never generate revenue that is significant enough to achieve profitability.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BGE-102, through clinical development and any future product candidates through preclinical and clinical development. We expect increased expenses as we continue our research and development, initiate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Because the outcome of any preclinical study or clinical trial is highly uncertain, we cannot reasonably estimate the actual amount of capital necessary to successfully complete the development and commercialization of our product candidates.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had $384.9 million in cash, cash equivalents and marketable securities as of March 31, 2026 of which $1.7 million were long-term marketable securities. Based on our current operating plan, we estimate that our existing cash, cash equivalents and marketable securities as of the filing date of this Quarterly Report will be sufficient to fund our operations and capital expenses through 2029. Changes beyond our control may occur that would cause us to use our available capital before that time, including changes in and progress of our drug development activities and changes in regulation. Our future capital requirements will be dependent on many factors, including:</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clinical trials for our lead product candidate, BGE-102,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any future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and additional indications for our current product candidates we may pursue, and the preclinical studies and clinical trials necessary to develop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any approved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BGE-102 or any future product candidates,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completing any post-marketing studies or trials required by the U.S. Food and Drug Administration (FDA)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BGE-102 or any future product candidates, if any are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preclinical development programs and advance any product candidates into clinical trials in order to seek regulatory approval, and we anticipate needing to raise additional capital to complete the development of, and eventually commercialize, any of our product candidates, if approved. For example, we are party to the Sales Agreement with Leerink relating to the sale and issuance, from time to time, of shares of our common stock in at-the-market equity offerings with an aggregate offering price up to $75.0 million.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future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future clinical trials or future commercialization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Research, Discovery, Development, Regulatory Approval and Commercialization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future success is highly dependent on our ability to identify and develop, obtain regulatory approval for, and then successfully commercialize our lead product candidate, BGE-102, and any future product candidates, which may never occur. We are early in our development efforts with respect to BGE-102, which is a brain-penetrant structurally novel small molecule inhibitor of NLRP3 that has a novel binding site. We are also developing APJ agonists, which are in earlier stages of development. We currently have no products that are approved for sale in any jurisdiction. There can be no assurance that BGE-102 or any future product candidates we develop will achieve success in their respective clinical trials or obtain regulatory approval. We may also become dependent on product candidates that we may develop or acquire in the future. Given our early stage of development, it may be several years, if at all, before we have demonstrated the safety and efficacy of a product candidate sufficient to warrant approval for commercialization.</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which we do not expect will occur for many years, if ever, will be heavily dependent on the successful development and eventual commercialization of BGE-102, our APJ programs and any future product candidates. The success of BGE-102 and any future product candidates will be dependent on several factors, including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demonstrating attractive, competitive target product profiles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INDs by the FDA or other similar clinical trial applications from other regulatory authorities for our future clinical trials for our pipeline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other comparable foreign regulatory agencies;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if granted, including the completion of any required post-marketing studies or trials and available funding to perform any post-marketing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current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protecting and enforcing our patent, trade secret and other intellectual property and regulatory exclusivity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current or future product candidates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 as well as adequate demand forecasts for supply and sales planning;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product characteristics attractive to physicians, patients, advocates, payors and caregivers;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 in both public and private payor spaces, given the significant number of obese patients in the United States who may benefit from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clinical trials resulting from any major natural disasters, health pandemics or significant political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clinical trial results for future product candidates show unexpected adverse events or a lack of efficacy in the indications we intend to treat or do not meet the clinical endpoints, or if we experience other regulatory or developmental issues. For instance, in December 2024, we announced the discontinuation of our Phase 2 clinical trial of our former lead product candidate azelaprag following observation of liver transaminitis without clinically significant symptoms in some subjects receiving azelaprag.</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potential product candidates over other potential product candidates. These decisions may prove to have been wrong and may adversely affect our ability to develop our own programs or our attractiveness as a commercial partner, and may ultimately have an impact on our commercial success.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product candidates or therapeutic areas may not lead to the development of viable commercial products and may divert resources away from better opportunities. Similarly, any decisions to delay, terminate, or collaborate with third parties in respect of certain product development programs may also prove not to be optimal and could cause us to miss valuable opportunities. If we make incorrect determinations regarding the market potential of any future product candidates or misread trends in the biopharmaceutical industry, our business, financial condition, and results of operations would be materially adversely affected.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August 2025, we announced that the first patient was dosed in our Phase 1 SAD / MAD clinical trial for BGE-102, and in April 2026 we reported results from the full Phase 1 SAD / MAD trial. It is impossible to predict when or if BGE-102 or any future product candidates will prove effective and safe in humans or will receive regulatory approval. To obtain the requisite regulatory approvals to commercialize any product candidate,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 The results of preclinical studies and early clinical trials of BGE-102 or any future product candidates, or a competitor’s product candidate in the same class, may not be predictive of the results of later-stage clinical trials. For example, despite encouraging results from our Phase 1b bed rest atrophy clinical trial and the lack of any negative safety signals in other Phase 1 clinical trials of azelaprag, in January 2025, we announced the discontinuation of the azelaprag program following observation of liver transaminitis without clinically significant symptoms in some subjects receiving azelaprag in our Phase 2 clinical trial. Interim, topline or preliminary results of a clinical trial are not necessarily indicative of final results.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clinical development of any future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initiating or completing clinical trials of our future product candidates. We also may experience unforeseen events during, or as a result of, any future clinical trials that we conduct that could delay or prevent our ability to receive regulatory approval or commercialize BGE-102 or any future product candidates, including:</w:t>
      </w:r>
    </w:p>
    <w:p>
      <w:pPr>
        <w:spacing w:after="0" w:line="68" w:lineRule="exact"/>
        <w:rPr>
          <w:sz w:val="20"/>
          <w:szCs w:val="20"/>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 or may halt or suspend an ongoing clinical trial;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current or future product candidates in clinical trials to demonstrate important functional or patient-reported outcomes;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BGE-102 or any future product candidates may be greater than we anticipate, and we may not have sufficient funds to complete such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BGE-102 or any future product candidates or other materials necessary to conduct clinical trials of BGE-102 or any future product candidates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sufficient quantities of BGE-102 or any future product candidates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meet drug specifications suitable for use in clinical trials and commercial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BGE-102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for such product candidate as well as data emerging from other molecules in the same class as BGE-102 or any future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could also encounter additional delays if a future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BGE-102 or any future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drug removed from the market after obtaining regulatory approval.</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if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restricted duration expectations or guidance;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 marketing testing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Risk Evaluation and Mitigation Strategy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regulatory approval of one or more of our product candidates.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any future product candidates could be negatively impacted, and our ability to generate revenues from our current or future product candidates may be delayed or eliminated entirely.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future product candidates in combination with other therapies, which would expose us to additional risks.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develop other product candidates for use in combination with other therapies in the future. The development of product candidates for use in combination with another product may present challenges that are not faced for single agent product candidates. For example, any future clinical trial for our product candidates in combination with other therapies that is designed to evaluate efficacy could show that our product candidate does not sufficiently contribute to the observed effects of individuals who participate in these trials. Even if any future product candidates were to receive regulatory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any future product candidates are approved for use could themselves fall out of favor or be relegated to later lines of treatment. This could result in the FDA or similar foreign regulatory authorities requiring us to conduct additional clinical trials, the need to identify other combination therapies for our product candidates or our own products being removed from the market or being less successful commercially.</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any future product candidates, we may be unable to obtain approval of or successfully market any one or all of the future product candidates we may develop. Additionally, if the third-party providers of therapies or therapies in development used in combination with any future product candidates are unable to produce sufficient quantities for clinical trials or for commercialization of any future product candidates, or if the cost of combination therapies are prohibitive, our development and commercialization efforts would be impaired, which would have an adverse effect on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and/or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topline or interim data from our clinical trials, such as preliminary, topline or interim data analysis from our ongoing and planned clinical trials of BGE-102. For example, we announced interim data from our Phase 1 SAD / MAD study of BGE-102 in December 2025 and January 2026.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becomes available to us from our ongoing and planned clinical trials of BGE-102 or other future product candidates or by our competitors in the future could result in volatility in the price of our common stock.</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applying our longitudinal human aging platform to identify additional targets with therapeutic and commercial potential or in the discovery and development of commercially viable product candidates for us or our collaborators.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our longitudinal human aging platform to identify and prioritize potential drug targets, to assess the likelihood that we can develop a product candidate that interacts with the target to elicit the desired therapeutic effect, and to transition these insights efficiently into well supported therapeutic candidates. While we believe our platform will increase the likelihood of producing additional product candidates that provide meaningful clinical benefit, past success in identifying potential product candidates does not assure future success for our internal drug discovery programs. Our longitudinal human aging platform is novel, and we may not succeed in applying our platform to identify additional drug targets or transition these targets into promising future product candidates. We similarly cannot provide any assurance that, even if we do successfully identify additional targets, we will be able to successfully develop future product candidates and advance any such future product candidates into and through clinical development. Therefore, we are unable to predict the time and cost associated with the identification and development of any future product candidate or whether the application of our platform will result in the identification, development and ultimately regulatory approval of any future product candidates.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through our platform to identify, discover, acquire or in-license, and ultimately develop, product candidates require substantial technical, financial and human resources, whether or not any such future product candidates are ultimately identified. Our efforts may initially show promise in identifying potential product candidates, yet fail to yield product candidates for clinical development or regulatory approval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any future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in subsequent preclinical or clinical investigations, to have harmful side effects or characteristics that indicate it is unlikely to be effective, or otherwise would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be dependent,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future growth may be dependent, in part, on our ability to develop and commercialize BGE-102, if approved, and any future product candidates in foreign markets for which we may rely on collaboration with third parties. We are not permitted to market or promote BGE-102 or any future product candidates before we receive regulatory approval from the applicable regulatory authority in that foreign market and may never receive such regulatory approval for BGE-102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BGE-102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BGE-102 or any future product candidates will be harmed, and our business will be adversely affected. We may not obtain foreign regulatory approvals on a timely basis, if at all. Our failure to obtain approval of BGE-102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BGE-102 or any future product candidates and ultimately commercialize BGE-102 or any future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enrolling or keeping patients in our clinical trials, which could delay or prevent us from proceeding with, or otherwise adversely affect, clinical trials of our product candidates.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be required to conduct some of our clinical trials at the same clinical trial sites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that some of our competitors use, which could negatively impact the number of patients who are available for our clinical trials in such clinical trial site.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not achieve adequate market acceptance among physicians, patients or their families, healthcare payors and others in the medical community necessary for commercial success.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given the significant number of obese patients in the United States, and timing of relevant formulary decision-making resulting in this coverage and reimbursement;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for use as a combination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efforts and market access;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relating to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new therapies for the same indications.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are approved but do not achieve an adequate level of acceptance by physicians, hospitals, healthcare payors and patients, we may not generate or derive sufficient revenue from that product candidate and our financial results would be negatively impacted.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 If, in the future, we are unable to establish sales and marketing capabilities or enter into agreements with third parties to sell and market any product we may develop, we may not be successful in commercializing those products if they are approved.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factors that may inhibit our efforts to commercialize any approved product candidates include:</w:t>
      </w:r>
    </w:p>
    <w:p>
      <w:pPr>
        <w:spacing w:after="0" w:line="54"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decision makers to utilize any future approved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any of our current or future product candidates at a sufficient price point to ensure an adequate and attractive level of profitability;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current or future product candidates to segments of the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 candidates to be offered by sales personnel, which may put us at a competitive disadvantage relative to companies with more extensive product candidate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is dependent on our ability to retain key employees and to attract, retain and motivate qualified personnel and manage our human capital.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is largely dependent on our ability to attract, motivate and retain highly qualified managerial, clinical, scientific and medical personnel. We are highly dependent on the scientific and management expertise of Dr. Fortney, our Chief Executive Officer, the other members of our management team and other key employees and advisors. We currently do not maintain “key person” life insurance on these individuals or any of our employees. This lack of insurance means that we may not have adequate compensation for the loss of the services of any such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drug development and the specific knowledge related to BGE-102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a remote-based company, with a majority of our employees working remotely, and we primarily conduct our in-person operations at our research facility in Emeryville,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BGE-102 or any future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future clinical trials or funding support by us, or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BGE-102 or any future product candidates or those of our competitors;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 effects of global macroeconomic events, such as inflation, tariffs, political instability and military hostilities in multiple geographies, such as the conflicts in Ukraine, Venezuela, Iran, tensions between China and Taiwan and the possibility of a wider Middle Eastern, European or global conflict, pandemics, natural disasters and supply chain issues, on our business and operations;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clinical and regulatory capabilities and operations as we grow, and as a result, we may encounter difficulties in managing our growth, which could disrupt our operations.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to increase the number of our employees and the scope of our operations, particularly in the areas of clinical development, clinical operations, manufacturing, regulatory affairs, finance, accounting, business operations, communications and other corporate development functions, and, if BGE-102 or any future product candidates receive regulatory approval, sales, marketing and distribution capabilities. If we acquire additional product candidates or enter into future collaborations, we may have to further expand our employee base beyond our current projections, which may include further preclinical research and development or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operations, we may not be able to successfully implement the tasks necessary to further develop and commercialize, if approved, BGE-102 or any future product candidates and, accordingly, we may not achieve our research, development and commercialization goals.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 if at all.</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and specifically the development and commercialization of therapeutics for cardiometabolic diseases, ophthalmology, and obesity is particularly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future product candidates, if approved, would face competition from other approved treatments, some of which have already achieved commercial success. To compete successfully, we will need to differentiate any of our future therapies, if approved, from currently marketed drugs as well as those that may be approved in the future, meaning that we will have to demonstrate that the relative cost, method of administration, safety, tolerability or efficacy of our future therapies provides a better alternative or complement to existing and new therapies. Our commercial opportunity and likelihood of success will be reduced or eliminated if our future therapies are not ultimately demonstrated to be safer, more effective, more conveniently administered, or less expensive than the current standards of care. Furthermore, even if future therapies are able to achieve these attributes, acceptance of such therapies may be inhibited by the reluctance of physicians to switch from existing therapies, or if physicians choose to reserve our future therapies for use in limited circumstances.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any future product candidates, the ease with which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any future product candidates. Such competitors could also recruit our employees, which could negatively impact our level of expertise and our ability to execute our business plan.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Quarterly Report may prove to be smaller than we believe, and even if the markets in which we compete achieve the forecasted growth, our business may not grow at similar rates, or at all.</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ASCVD risk reduction, DME, and obesity. Our projections of addressable patient populations within any particular disease state that may benefit from treatment with our product candidates are based on our estimates. Market opportunity estimates and growth forecasts included in this Quarterly Report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Similarly, the percent of the population with cardiovascular risk factors, DME, and obesity could be lower than we anticipate. In both instances, the pool of potential patients that our current or any future product candidates could address could be substantially smaller than we anticipate. Additionally, the potentially addressable patient population for any future product candidates may not ultimately be amenable to treatment with any future product candidates. Our market opportunity may also be limited by future competitor treatments that enter the market. If any of our estimates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prove to be inaccurate, the market opportunity for any future product candidates that we or our strategic partners develop could be significantly diminished and have an adverse material impact on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results or publicity for one drug for ASCVD risk reduction, DME, or obesity could have a substantial impact on all drugs and product candidates for ASCVD risk reduction, DME, or obesity, including any potential product candidates we may have in the future.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can be affected by adverse publicity or negative public perception about us, our competitors, our future product candidates or products, if approved, or our industry or competitors generally. Adverse publicity may include publicity about ASCVD risk reduction, DME, or obesity or GLP-1R agonists generally, the efficacy, safety, and quality of our future product candidates, as well as of the broader category of obesity products, including any products that our future product candidates are intended to be used in combination with,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Further, any adverse effects in our future clinical trials, even if not ultimately attributable to our future product candidates, and the resulting publicity could result in withdrawal of clinical trial participants, and a decrease in demand for any such future product candidates. Our business, financial condition, and results of operations could be adversely affected if any of our future product candidates or products, if approved, or any similar products distributed by other companies are alleged to be or are proved to be harmful to consumers or to have unanticipated and unwanted health consequences.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maintain approximately $18.0 million in general liability insurance and product liability insurance in the aggregate.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and we may be subject to claims that our employees, consultants or independent contractors have wrongfully used or disclosed confidential information of third parties.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regulatory authorities, comply with manufacturing standards we may establish, comply with healthcare fraud and abuse laws and regulations, report financial information or data accurately or disclose unauthorized activities to us. If we obtain FDA approval of any of our current or future product candidates and begin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regulatory authorities exclusion from participation in government contracting, healthcare reimbursement or other government programs, including Medicare and Medicaid, integrity oversight and reporting obligations, or reputational harm.</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In addition, both our current and our future net operating losses and other tax attributes may be subject to limitation under Sections 382 and 383 of the U.S. Internal Revenue Code of 1986, as amended,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We may also undergo ownership changes in the future as a result of shifts in the ownership of our capital stock, some of which may be outside of our control,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flows, financial condition or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or regulations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under the Tax Cuts and Jobs Act, as amended by the One Big Beautiful Bill Act ("OBBBA") for tax years beginning after December 31, 2021, taxpayers are required to capitalize and amortize certain research and development expenditures over fifteen years if incurred in foreign jurisdictions. For tax years beginning after December 31, 2021, and beginning on or before December 31, 2024, taxpayers generally were required to capitalize and amortize certain research and development expenditures over five years if incurred in the United States; however, beginning after that period, the OBBBA restored immediate deductibility of research and development expenditures incurred in the United States and also permits certain small business taxpayers to apply these changes retroactively to tax years beginning after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preparing the financial statements as of and for the years ended December 31, 2023 and 2022, management previously determined it had not maintained appropriately designed entity-level controls impacting the control environment, risk assessment procedures and monitoring activities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prevent or detect material misstatements to our condensed consolidated financial statements, which constituted material weaknesses. Specifically, the control deficiencies related to (i) insufficient identification and assessment of risks impacting the design, implementation and operating effectiveness of internal controls over financial reporting and (ii) insufficient evaluation and determination as to whether components of internal control were present and functioning based upon evidence maintained for activity level controls, including management review controls, across substantially all of our financial statement areas. Management had also determined that it did not maintain effective information technology controls in the areas of user access, change management and segregation of duties, within the systems supporting our accounting and reporting processes. During the fiscal year ended December 31, 2024, we successfully completed the testing necessary to conclude that the material weaknesses have been remediated.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statements and prevent or detect fraud. Although the material weaknesses in internal control over financial reporting described above have been remediated, any new material weaknesses or other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cannot assure you that the remediation measures we have taken to date will be sufficient to prevent or avoid potential future material weaknesses in our internal controls.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or may in the future be, subject to stringent and changing data privacy and security obligations.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certain personal information and other sensitive information, including our proprietary and confidential business data, trade secrets, employee data, intellectual property, data we collect about trial participants in connection with clinical trials, and other sensitive data. The global data protection landscape is rapidly evolving and we are or may become subject to numerous data privacy and security obligations, such as various state, federal and foreign laws, regulations, guidance, industry standards, external and internal privacy and security policies, contractual requirements and other obligations that govern the processing of personal,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that could result in fines or injunctions.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sensitive or confidential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comprehensive consumer privacy laws, sector-specific privacy laws, consumer protection laws (e.g., Section 5 of the Federal Trade Commission Act), data breach notification laws, laws regarding on-line marketing, and other similar laws (e.g., wiretapping laws). For example, the Health Insurance Portability and Accountability Act of 1996, as amended by the Health Information Technology for Economic and Clinical Health Act of 2009 (HITECH) (collectively, HIPAA), include a privacy rule and security rule that impose among other things, certain requirements relating to the privacy, security, transmission, and breach of individually identifiable health information. We may obtain health information from third parties (including research institutions from which we obtain clinical trial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data) that are subject to privacy and security requirements under HIPAA. Depending on the facts and circumstances, we could be subject to significant penalties if we violate HIPAA.</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Over a dozen states have also passed comprehensive consumer privacy laws, and similar laws are being considered in several other states, as well as at the federal and local levels, some of which we may become subject to. For example, the California Consumer Privacy Act of 2018 (as amended by the California Privacy Rights Act of 2020)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The CCPA also provides for fines of up to $7,500 per intentional violation and allows private litigants affected by certain data breaches to recover significant statutory damages. The 2020 amendments to the CCPA also created the California Privacy Protection Agency, a new enforcement agency whose sole responsibility is to enforce the CCPA and is empowered to create new CCPA regulations. In addition to government activity, privacy advocacy groups and technology and other industries are considering various new, additional or different self-regulatory standards that may place additional burdens on us. In addition to government activity, privacy advocacy groups and technology and other industries continue to consider new or revised self-regulatory standards that may place additional burdens on us.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the European Union’s General Data Protection Regulation (EU GDPR) and the United Kingdom’s GDPR (UK GDPR) impose strict requirements for processing the personal data of individuals. Among other requirements, the GDPR and UK GDPR (and certain other foreign jurisdictions) regulate the cross- border transfer of personal data, which could make it more difficult for us to transfer information across jurisdictions (such as transferring or receiving personal data that originates in the European Union (EU), or the United Kingdom to countries such as the United States which are not considered by the EU or United Kingdom to provide adequate protection of personal data). In October 2022, the EU-U.S. Data Privacy Framework was implemented, and the European Commission adopted an adequacy decision on July 10, 2023 that set conditions for personal data transfers from the EU to certified companies in the United States without additional safeguards in place.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and/or it could adversely affect our business, financial condition, results of operations and prospects.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such changes in the law related to the use of personal information or data could compromise our ability to pursue our growth strategy effectively or even prevent us from providing certain products in jurisdictions in which we currently operate or may operate in the future. Complying with these numerous, complex and often changing regulations is expensive and difficult, and failure to comply with any data privacy or security laws, whether by us, one of our third-party CDMOs, partners or another third party, could adversely affect our business, financial condition, results of operations and prospects and result in expenses which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contractual obligations related to data privacy and security. We may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assure you that our CROs, CDMOs or other third-party service providers with access to our or our suppliers’, manufacturers’, clinical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security-related safeguards cannot completely protect us from the risks associated with the third-party processing of such information. Any of the foregoing could adversely affect our business, financial condition, results of operations and prospects.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efficient and uninterrupted operation of our information technology systems, and those systems, or those of our third-party service providers, may be impacted by security incidents, cyberattacks, loss of data and other disruptions, which could adversely impact our business.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to operate our business. In the ordinary course of business, we collect, store, generate, transfer, and transmit (collectively, “process”) confidential information (such as intellectual property, proprietary business data and patient data). It is critical that we do so in a secure manner to maintain the confidentiality and integrity of such information. We also outsource elements of our information technology systems and operations to third parties (such as vendors, contractors and consultants), and as a result we rely on and take steps designed to manage a number of third- parties who have access to and process our confidential information.</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take steps designed to detect, mitigate, and remediate vulnerabilities in our information systems, we may not detect or be able to remediate all such vulnerabilities. Further, we may experience delays in developing and deploying remedial measures and patches designed to address identified vulnerabilities, if at all. Despite the implementation of these security measures, our information technology systems and those of our third-party vendors and other contractors and consultants have been in the past and may be in the future potentially vulnerable to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 supported actors, which may compromise our system infrastructure, or that of our third-party vendors and other contractors and consultants, impede our ability to conduct business, delay our financial reporting or lead to data leakage. Any of the above concerns could apply to our third-party suppliers and vendors as well.</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Any breach, loss or compromise of confidential proprietary, or personal information may also subject us to liability,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remote work may increase the risks to our information technology systems and data, as remotely working employees utilize network connections, computers and devices outside our premises or network, including working at home, while in transit or in public locations.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or smaller reporting companies could make our common stock less attractive to investors.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Annual Report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Annual Report.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2029,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will continue to be a smaller reporting company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seek to enter into collaborations or other agreements with third parties for the discovery, development and commercialization of product candidates, if approved, and we may not be successful in doing so. If those collaborations are not successful, we may not be able to capitalize on the market potential of BGE-102 and any future product candidates.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seek third-party collaborators for research, development and commercialization of BGE-102 or any future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color w:val="auto"/>
        </w:rPr>
        <w:t>Collaborations involving our technology currently pose, and will continue to pose, the following risks to us:</w:t>
      </w:r>
    </w:p>
    <w:p>
      <w:pPr>
        <w:spacing w:after="0" w:line="117"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any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any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if approved, relative to other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if approved, commercialization of any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if approved,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if approved, commercialization of product candidates in the most efficient manner or at all;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if approved, commercialization program could be delayed, diminished or terminated.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Moreover,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studies and clinical trials ourselves. As a result, we are dependent on third parties to conduct preclinical studies of certain future product candidates, as well as clinical trials for any future product candidates, as well as potentially preclinical studies of certain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For example,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Practices (cGMP) regulations. Our failure or the failure of third parties on whom we rely to comply with these regulations may require us to stop and/or repeat clinical trials, which would delay the regulatory approval process.</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 sponsored trials. However, we would not have control over the timing and reporting of the data from investigator-sponsored trials, nor would we own the data from the investigator-sponsored trials. If we are unable to confirm or replicate the results from the investigator- 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BGE-102 or any future product candidates and will not be able to, or may be delayed in our efforts to, successfully commercialize our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which are located in China and India. We rely, and expect to continue to rely, on third parties for the manufacture of our product candidates and related raw materials for preclinical and clinical testing, product development purposes, to support regulatory application submissions, as well as for commercial manufacture if any of our product candidates obtain regulatory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including the conflicts in Ukraine, Venezuela, Iran, tensions between China and Taiwan and the possibility of a wider Middle Eastern, European or global conflict, the impacts of threatened or imposed tariffs or other trade barriers, and public health epidemics,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regulatory restrictions or other causes, could impair our ability to operate our business on a day-to-day basis and to continue our development of our product candidates.</w:t>
      </w:r>
    </w:p>
    <w:p>
      <w:pPr>
        <w:spacing w:after="0" w:line="19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Furthermore, since some of our third-party manufacturers are located in China and India, we are exposed to the possibility of product supply disruption and increased costs in the event of changes in the policies of the United States, such as the recent imposition of tariffs, or other trade barriers, or actions by the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signed into law in December 2025, prohibits U.S. federal agencies from entering into or renewing any contract (or loaning or granting funds to do the same) with any entity that uses “biotechnology equipment or services” produced or provided by a “biotechnology company of concern” to perform that contract. A “biotechnology company of concern” is defined as an entity that is involved in the manufacturing, distribution, provision, or procurement of a biotechnology equipment or service and is (i) identified on the annual 1260H List of Chinese military companies (1260H List) issued by the U.S. Department of Defense, (ii) determined by the U.S. government to meet certain criteria relating to national security and control by a foreign adversary through a process set forth in the Act, or (iii) certain affiliates of the foregoing. In addition, the BIOSECURE Act provides a grandfathering period of five years for entities that are designated by the U.S. Government; however, entities identified on the 1260H List are not eligible for such grandfathering period. We are presently party to agreements with WuXi Apptec and its affiliates (WuXi), pursuant to which WuXi provides development and manufacturing services to us. WuXi is not currently designated on the 1260H List and has not otherwise been determined to be a biotechnology company of concern, but could be designated as such by the U.S. government in an annual update to the 1260H List or through the process set forth in the Act, once established. If this law or similar laws that may be passed impact WuXi or other Chinese biotechnology manufacturing companies that we may contract with or that provide biotechnology equipment or services in the manufacture of our products or product candidates, they would have the potential to severely restrict our ability to work with WuXi and other such Chinese biotechnology manufacturing companies to the extent we would contract with, or otherwise receive funding from, the U.S. government. We cannot predict what actions may ultimately be taken with respect to trade relations between the United States and China or other countries, what products and services may be subject to such actions or what actions may be taken by China or the other countries in retaliation. Setting up alternative manufacturing or supplier relationships in other jurisdictions would result in additional costs to the business and will require the time and attention of management.</w:t>
      </w:r>
    </w:p>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on favorable terms. Our anticipated reliance on a limited number of third party-manufacturers or suppliers exposes us to the following risks:</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CDMOs are not in compliance with FDA laws and regulations, including those governing cGMPs, the FDA may not approve a new drug application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CDMOs are subject to continual review and periodic inspections to assess compliance with cGMPs. Furthermore, although we do not have day-to-day control over the operations of our CDMOs, we are responsible for ensuring compliance with applicable laws and regulations, including cGMPs.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In this case, our clinical trials supply could be delayed significantly as we establish alternative supply sources.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third- party manufacturers may experience manufacturing or shipping difficulties due to resource constraints or as a result of natural disasters, labor disputes, unstable political environments or public health epidemics.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regulatory approval on a timely and competitive basis.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or suppliers we engage,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harmed.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BGE-102 and any other product candidates we may develop and our technology, our U.S. patents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insufficient to protect our competitive position on BGE-102 and any future product candidates for an adequate amount of time.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BGE-102 or any future product candidates are obtained, once the patent life has expired, we may be open to competition from competitive products, including generics.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identical or similar to ours.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 Patent and Trademark Office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and ex-U.S. patent laws could diminish the value of patents in general, thereby impairing our ability to protect our current or future product candidates.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effect on our patent rights and our ability to protect, defend and enforce our patent rights in the future. For example, in the case, Assoc. for Molecular Pathology v. Myriad Genetics, Inc., the U.S. Supreme Court held that claims to certain DNA molecules are not patentable. In Amgen Inc. v. Sanofi, the Federal Circuit held that claims with functional language may face high hurdles in fulfilling the enablement requirement. Recent decisions raise questions regarding the award of patent term adjustment (PTA) for patents where related patents have been issued without a PTA. Thus, it cannot be said with certainty how PTA will or will not be viewed in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financial condition, results of operations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any future products as well as our lead product candidate, BGE-102, are or may be subject to the terms and conditions of license agreements.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in the past licensed, and may in future license, certain patent rights and proprietary technology from third parties that are important or necessary to the development of our product candidates.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Out-license agreements we may enter into in the future may include exclusivity terms limiting our ability to develop product candidates that may compete with the relevant licensed target or product. If such exclusivity restrictions prevent us from developing or commercializing our technologies in a way that we deem necessary to gain or maintain our competitive advantage, it may have a material adverse effect on our competitive position, business, financial conditions, results of operations and prospects.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have complete control in the preparation, filing, prosecution, maintenance, enforcement and defense of patents and patent applications covering the technology that we license from third parties.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BGE-102 or any future product candidates.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enter into license agreements with third parties under which we license the use, development and commercialization rights to current or future product candidates or technology from third parties.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 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any licenses we may acquire in the future, could harm our business, financial condition, results of operations and prospects.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a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total payment amount due if we develop multiple products under the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material adverse effect on our business.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that may be relevant to our product candidates. Thus, because of the large number of patents issued and patent applications filed in our fields, there may be a risk that third parties may allege they have patent rights encompassing our future product candidates, technologies or methods. If any such patent were to be asserted against us, we may have defenses against any such action, including that these patents would not be infringed by our future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any future product candidates, which could have a material adverse effect on our business, financial condition, cash flows or results of operations.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17"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if any;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BGE-102 or any future product candidate is approved by the FDA, a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molecules used in or formed during the manufacturing process, or the product candidate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manufacturing process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any future product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current and future product candidates, including BGE-102.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patent protection,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a trade secret is difficult, expensive and time-consuming, and the outcome is unpredictable. In addition, some courts inside and outside the United States are less willing or unwilling to protect trade secrets.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product candidates.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may plan to commercialize BGE-102 or any future product candidates. As the biotechnology and pharmaceutical industries expand and more patents are issued, and as we gain greater visibility and market exposure as a public company, the risk increases that BGE-102 or any future product candidates, and commercializing activities may give rise to claims of infringement of the patent rights of others. We cannot assure you that BGE-102 or any future product candidates will not infringe existing or future patents owned by third parties. We may not be aware of patents that have already been issued for which a third party, such as a competitor in the fields in which we are developing BGE-102 or any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BGE-102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party claims or litigation alleging infringement of patents or other proprietary rights, or seeking to invalidate our patents or other proprietary rights, may delay or prevent the development and commercialization of our current or future product candidates or technologies.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avoiding infringement and other violations of the patents and proprietary rights of third parties. The intellectual property landscape around obesity and cardiometabolic diseases drug development is highly dynamic and there is a substantial amount of litigation, both within and outside the United States, involving patent and other intellectual property rights in the biopharmaceutical industry. Potential litigation could include patent infringement lawsuits,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USPTO, as well as oppositions and similar processes in foreign jurisdictions. As the fields of treating obesity and cardiometabolic diseases continue to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Also, there may be third 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or technologies may infringe.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Defense of third-party claims of patent infringement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product candidates or other technologies infringe upon these rights. If any third-party patents were held by a court of competent jurisdiction to cover our product candidates, or any aspect of their manufacture or use, the holders of any such patents may be able to block our ability to commercialize such product candidate or technology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affected products or technologies, which may be impossible or require substantial time and monetary expenditure. We cannot predict whether any such license would be available at all or whether it would be available on commercially reasonable terms.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a legal determination made by the courts. It is informed by the written disclosure of a patent, the patent’s prosecution history, and other intrinsic and extrinsic factors. Our interpretation of a patent claim may not be adopted during a patent litigation alleging infringement by our products. If a court does not adopt our claim interpretation and determines that our product candidates are covered by a third-party patent, we may be held liable for damages. Similarly, we may incorrectly predict whether a third-party patent application will issue with claims that cover one or more of our product candidates. If our claim interpretations are not adopted by the USPTO during prosecution of a third-party patent application, or by a court in a patent infringement dispute, our ability to develop and market our product candidates may be harmed.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we, or one of our licensors, may have to participate in post-grant challenge proceedings, such as oppositions in a foreign patent office, that challenge priority of invention or other features of patentability. If we or our licensors are unsuccessful in any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licenses from third parties, including parties involved in any such proceedings. If we are unable to obtain such licenses, we may need to cease the development, manufacture and commercialization of one or more of the product candidates or technologies we may develop. The loss of exclusivity or the narrowing of our patent claims could limit our ability to stop others from using or commercializing similar or identical technology and product candidates. Even if we or our licensors are successful in such a proceeding, it could result in substantial costs and be a distraction to management and other employees.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the patent landscape is crowded and highly competitive. Numerous third-party United States and foreign issued patents and pending patent applications exist in the fields in which we are developing product candidates, and they may assert infringement claims against us based on existing patents or patents that may be granted in the future, regardless of their merit. Ongoing research and development is taking place by several companies, universities, and other institutions.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publication timelines. We cannot guarantee that any patent searches we may conduct are complete or thorough enough to identify every third-party patent and pending application in the United States and/or abroad that is relevant to or necessary for the development and commercialization of our product candidates in any country.</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fail to obtain any of these licenses at a reasonable cost or on reasonable terms, if at all. In that event, we may be unable to further develop and commercialize one or more of our product candidates, which could harm our business significantly. We cannot provide any assurances that third party patents do not exist which might be enforced against our product candidates resulting in either an injunction prohibiting our sales, or, with respect to our sales, an obligation on our part to pay royalties or other forms of compensation to third parties.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of our current or future product candidates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obesity and cardiometabolic disease drug development. Additionally, we intend to utilize regulatory protection afforded through rare drug designations, data exclusivity and market exclusivity as well as patent term extensions, where available.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our current or future product candidates.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 party submission of prior art to the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or comparable regulatory authorities caused by, among other factors, funding shortages or global health concerns could occur at any time. In addition, there is substantial uncertainty regarding new initiatives under the new Administration and how these might impact the FDA, its implementation of laws, regulations, policies, and guidance, and its personnel. Similar initiatives may also be directed towards other agencies. These disruptions could hinder government agencies'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or other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or other regulatory authorities may also slow the time necessary for new drugs to be reviewed and/or approved, which would adversely affect our business. For example, starting in January 2025, the current Administration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 consequences may also occur as a result of a significant shutdown of the federal government. For example, over the last several years, and most recently in late 2025, the U.S. government has shut down several times and certain regulatory agencies, such as the FDA and the SEC,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If the FDA is constrained in its ability to engage in oversight and implementation activities in the normal course, our business may be negatively impacted.</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FDA-regulated industries, such as ours, face substantial uncertainty in regard to the regulatory environment we will face under the current Administration as we proceed with research and development efforts and potential future commercialization. Some of these efforts have manifested to date as efforts to reduce the size of the federal government, including large-scale reductions in force at the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the requisite regulatory approvals for our product candidates. Moreover, the current Administration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or increase the costs to us of conducting clinical trials. Some of these actions have been challenged in court and there remains general uncertainty regarding future activities. The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Administration, there could be a material adverse effect on us and our business.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decisions, which may vary within different judicial districts and circuits, is unknown. We also cannot predict the extent to which FDA and SEC regulations, policies, and decisions may become subject to increasing legal challenges, delays, and changes.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regulatory approval of and commercialize our product candidates and decrease the prices we may obtain.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regulatory approval of our product candidates, restrict or regulate post-approval activities and affect our ability to profitably sell any products for which we obtain regulatory approval.</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including costs of pharmaceuticals. There has been heightened governmental scrutiny over the manner in which manufacturers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Medicaid, and reform government program reimbursement methodologies for drug products. For example, on August 2, 2011, the Budget Control Act of 2011 imposed, subject to certain temporary suspension periods, 2% reductions in Medicare payments to providers per fiscal year starting April 1, 2013 and, due to subsequent legislative amendments to the statute, will remain in effect through 2032, unless additional Congressional action is taken. In December 2020, the Centers for Medicare &amp; Medicaid Services (CMS) issued a final rule implementing significant manufacturer price reporting changes under the Medicaid Drug Rebate Program, including an alternative rebate calculation for line extensions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is eliminated. Elimination of this cap has, in some cases, require pharmaceutical manufacturers to pay more in rebates than they receive on the sale of products. In 2024, CMS issued a final rule that decreased Medicare reimbursement for physician services by 2.8%, effective January 1, 2025. If federal spending is further reduced, anticipated budgetary shortfalls may also impact the ability of relevant agencies, such as the FDA,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Several healthcare reform initiatives culminated in the enactment of the Inflation Reduction Act (the IRA) in August 2022, which, among other things, allows the United States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7 years (11 years for single-source biologics) are eligible to be selected for negotiation by CMS,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The IRA also imposes rebates on Medicare Part D and Part B drugs whose prices have increased at a rate greater than the rate of inflation and in November 2024, CMS finalized regulations for these inflation rebates.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began taking effect progressively starting in 2023 and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and some IRA drug discount provisions have not been challenged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litigation. Thus, while it is unclear how the IRA will be implemented, it will likely have a significant impact on the pharmaceutical industry and the pricing of BGE-102 or any future product candidates.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HHS, which include the FDA and CMS, and related agencies. These actions included, for example, directives to reduce agency workforce, which include the FDA and CMS, and related agencies. In addition, on May 12, 2025, President Trump issued an Executive Order that, among other things, required HHS, within 30 days, to establish and communicate to drug manufacturers most favored 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(CMMI), two mandatory MFN demonstration models under Medicare Parts B and D, respectively. Further, as part of the Make America Healthy Again (MAHA) Commission’s recent Strategy Report, the administration is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enacting laws and implementing regulations designed to control pharmaceutical and biological product pricing, including restrictions or prohibitions on certain marketing practices, reporting of specified categories of remuneration provided to health care practitioners, and reporting and justification of price increases greater than a specified level. In some cases, states have designed programs to encourage importation from other countries and bulk purchasing, though the federal government has not yet approved any such plans. For example, the FDA released a final rule in 2020 providing guidance for states to build and submit importation proposals for drugs from Canada, and the FDA authorized the first such plan in Florida in 2024 but implementation of Florida’s plan has been extended. 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BGE-102 or any future product candidates or additional pricing pressures.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are uncertain. Failure to obtain or maintain coverage and adequate reimbursement for any future products could limit our ability to market those products and decrease our ability to generate revenue.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Sales of our product candidates,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Even if coverage is provided, the approved reimbursement amount may not be high enough to allow us to establish or maintain pricing sufficient to realize a sufficient return on our investment.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There is significant uncertainty related to the insurance coverage and reimbursement of newly approved products. In the United States, the principal decisions about reimbursement for new medicines are typically made by the CMS as CMS decides whether and to what extent a new medicine will be covered and reimbursed under Medicare. Private payors often, but not always, follow CMS’s decisions regarding coverage and reimbursement. Decreases in third-party payor reimbursement or a decision by a third-party payor to not cover any of our product candidates, if approved, could reduce physician usage of our product candidates, and have a material adverse effect on our sales, results of operations and financial condition. We may need to conduct expensive pharmacoeconomic studies in order to demonstrate the medical necessity and cost-effectiveness of our products, in addition to the costs required to obtain FDA approvals. Nonetheless, our product candidates may not be considered medically necessary or cost-effective.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w:t>
      </w:r>
    </w:p>
    <w:p>
      <w:pPr>
        <w:spacing w:after="0" w:line="72" w:lineRule="exact"/>
        <w:rPr>
          <w:sz w:val="20"/>
          <w:szCs w:val="20"/>
          <w:color w:val="auto"/>
        </w:rPr>
      </w:pPr>
    </w:p>
    <w:p>
      <w:pPr>
        <w:jc w:val="both"/>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certain healthcare providers, health plans, and healthcare clearinghouses, known as covered entities, as well as their business associates that perform certain services involving the storage, use or disclosure of individually identifiable health information for or on behalf of a covered entity and their covered subcontractors,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BGE-102 or any future product candidates we may develop could delay or preclude approval, cause us to suspend or discontinue clinical trials or abandon further development, change the design of our clinical trials, limit the commercial profile of an approved product, or result in significant negative consequences following regulatory approval, if any.</w:t>
      </w:r>
    </w:p>
    <w:p>
      <w:pPr>
        <w:spacing w:after="0" w:line="175"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As is the case with small molecules generally, it is likely that there may be adverse side effects associated with the use of BGE-102 or any future product candidates. For example, in December 2024, we announced the discontinuation of our Phase 2 clinical trial of our former lead product candidate azelaprag following observation of liver transaminitis without clinically significant symptoms in some subjects receiving azelaprag. Future clinical trials may reveal significant adverse events not seen in our preclinical studies or prior clinical trials and may result in a safety or tolerability profile that could delay or prevent regulatory approval or market acceptance of BGE-102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other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azelaprag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future product candidates, which could result in the delay or denial of regulatory approval by the FDA or other regulatory authorities. Adverse events and SAEs that emerge during clinical investigation of or treatment with BGE-102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 benefit perspective, which may limit the commercial expectations for our product candidates, if approved. For example, in January 2025, we terminated development of azelaprag, an orally available small molecule agonist of APJ, for obesity and other chronic diseases.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The decision followed observations of liver transaminitis without clinically significant symptoms, and without clear dose dependence, in some patients in the azelaprag arms of the STRIDES Phase 2 clinical trial for obesity. This may require longer and more extensive clinical development, or regulatory authorities may increase the amount of data and information required to approve, market or maintain approval for BGE-102 or any future product candidates and could result in warnings and precautions in our product labeling or a restrictive REMS. This may also result in an inability to obtain approval of BGE-102 or any future product candidates. We, the FDA or other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of the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future clinical trials at sites outside the United States. The FDA may not accept data from trials conducted in such locations, and the conduct of trials outside the United States could subject us to additional delays and expense.</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acceptance by the FDA or other regulatory authorities of trial data from clinical trials conducted outside their jurisdiction may be subject to certain conditions or may not be accepted at all.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Where foreign clinical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Export control and sanctions laws may also prohibit or limit our ability to sell or provide our drug candidates to embargoed countries, regions, governments, persons and entities.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could lose all or part of your investment.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subject to wide fluctuations in response to various factors, some of which we cannot control. As a result of this volatility, investors may not be able to sell their common stock at or above the price initially paid for the stock. The market price for our common stock may be influenced by many factors, including the other risks described in this “Risk Factors” section and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any product candidates, or those of our competitors or our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or other countries, especially changes in laws or regulations applicable to any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any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any product candidates, clinical studies, and, if approved,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 if any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any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are able to raise it,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stockholders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including global pandemics such as the COVID-19 pandemic;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fluctuating interest rates and inflation.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be dependent on appreciation of the value of our common stock.</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 industry or securities analysts, or the content and opinions included in their reports. If no or few securities or industry analysts continue or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in the public market the market price of our stock could decline significantly.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we have filed a registration statement (the “Resale Registration Statement”) registering the resale of up to 2,227,124 shares of our common stock, by certain of our stockholders. Sales of our common stock as certain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stock at a time and price that you deem appropriate. We also have registered shares of common stock that we may issue under our equity incentive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are freely tradeable in the public market.</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in-person operations are located in Emeryville,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are currently a remote-based company with a majority of our employees working remotely, our current in-person operations are located in our research facility in Emeryville,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CDMOs may have a material and adverse effect on our ability to operate our business and have significant negative consequences on our financial and operating conditions. If our facilities, or the manufacturing facilities of our CDMOs, are unable to operate because of an accident or incident or for any other reason, including an inability to use all or a significant portion of our headquarters, damages to critical infrastructure, such as our research facilities or the manufacturing facilities of our CDMOs, or other disruptions to operations, even for a short period of time, any or all of our research and development programs may be harmed. Any business interruption could have a material and adverse effect on our business, financial condition, results of operations and prospects.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tariffs, inflation, a potential recession, potential government shutdowns, uncertainty with respect to federal policy, regulations and employment, military conflict, terrorism or other geopolitical events, such as the conflicts in Ukraine, Venezuela, Iran, tensions between China and Taiwan and the possibility of a wider Middle Eastern, European or global conflict. Sanctions or tariffs imposed by the United States and other countries in response to such conflicts may also adversely impact the financial markets and the global economy, and any economic countermeasures by the affected countries or others could exacerbate market and economic instability.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We previously kept substantially all of our cash, cash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equivalents and marketable securities with SVB, the substantial majority of which was held in a custodial account with another institution, for which SVB Asset Management was the advisor. While we were afforded full access to our cash, cash equivalents and marketable securities with SVB, we may be impacted by other disruptions to the U.S. banking system, including potential delays in our ability to transfer funds whether held with SVB or otherwise.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 We regularly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securities litigation, which is expensive and could divert management attention.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remain volatile. Companies that have experienced volatility in the market price of their common stock are often subject to securities class action litigation. For example, on January 7, 2025, a securities class action complaint was filed against us, and certain of our officers and/or directors in the U.S. District Court for the Northern District of California. This or any future securities litigation brought by private parties or government enforcement agencies could result in substantial costs, divert our management’s attention and resources from other business concerns and damage our reputation, which could seriously harm our business, financial condition, results of operations and prospects. Any adverse determination in litigation could also subject us to significant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right="7520" w:hanging="512"/>
        <w:spacing w:after="0" w:line="500" w:lineRule="auto"/>
        <w:tabs>
          <w:tab w:leader="none" w:pos="266"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Initial Public Offering and Concurrent Private Placement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25, 2024, our Registration Statement on Form S-1 (No. 333-281901) was declared effective by the SEC, pursuant to which we issued and sold an aggregate of 12,650,000 shares of common stock (inclusive of 1,650,000 shares of common stock sold pursuant to the underwriters’ exercise of their option to purchase additional shares) at a public offering price of $18.00 per share for aggregate gross proceeds of $227.7 million and aggregate net cash proceeds of $207.3 million, after deducting approximately $15.9 million in underwriting discounts and commissions and approximately $4.5 million in offering costs. Concurrently with the initial public offering, we also completed a private placement, in which we issued and sold an aggregate of 588,888 shares of our common stock at a price of $18.00 per share to Sofinnova Venture Partners, XI, L.P. The aggregate cash purchase price of the private placement shares was $10.6 million, resulting in aggregate net cash proceeds of $9.9 million, after deducting approximately $0.7 million in placement agent fees. Our IPO and concurrent private placement closed on September 27, 2024. Goldman Sachs &amp; Co, LLC, Morgan Stanley, Jefferies LLC and Citigroup acted as joint book-running managers for the offering and placement agents for the concurrent private placement. In connection with our IPO and concurrent private placement, no payments for such expenses were made directly or indirectly to (i) any of our officers or directors or their associates, (ii) any persons owning 10% or more of any class of our equity securities or (iii) any of our affiliates.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plan to use the net proceeds from our initial public offering to fund research, clinical and process development and manufacturing of our product candidates, including BGE-102 and our APJ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2026, none of the Company’s directors or officers adopted or terminated any “Rule 10b5-1 trading arrangements” or any “non-Rule 10b5-1 trading arrangements,”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5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7"/>
        </w:trPr>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1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w:t>
            </w:r>
          </w:p>
        </w:tc>
        <w:tc>
          <w:tcPr>
            <w:tcW w:w="3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bottom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w:t>
            </w:r>
          </w:p>
        </w:tc>
        <w:tc>
          <w:tcPr>
            <w:tcW w:w="3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bottom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7" w:lineRule="exact"/>
        <w:rPr>
          <w:sz w:val="20"/>
          <w:szCs w:val="20"/>
          <w:color w:val="auto"/>
        </w:rPr>
      </w:pPr>
    </w:p>
    <w:p>
      <w:pPr>
        <w:ind w:left="520" w:right="20" w:hanging="512"/>
        <w:spacing w:after="0" w:line="282" w:lineRule="auto"/>
        <w:tabs>
          <w:tab w:leader="none" w:pos="1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Kristen Fortney</w:t>
            </w:r>
          </w:p>
        </w:tc>
      </w:tr>
      <w:tr>
        <w:trPr>
          <w:trHeight w:val="191"/>
        </w:trPr>
        <w:tc>
          <w:tcPr>
            <w:tcW w:w="34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Kristen Fortney, Ph.D.</w:t>
            </w:r>
          </w:p>
        </w:tc>
      </w:tr>
      <w:tr>
        <w:trPr>
          <w:trHeight w:val="216"/>
        </w:trPr>
        <w:tc>
          <w:tcPr>
            <w:tcW w:w="3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4"/>
        </w:trPr>
        <w:tc>
          <w:tcPr>
            <w:tcW w:w="3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Dov Goldstein</w:t>
            </w:r>
          </w:p>
        </w:tc>
      </w:tr>
      <w:tr>
        <w:trPr>
          <w:trHeight w:val="191"/>
        </w:trPr>
        <w:tc>
          <w:tcPr>
            <w:tcW w:w="34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Dov Goldstein, M.D.</w:t>
            </w:r>
          </w:p>
        </w:tc>
      </w:tr>
      <w:tr>
        <w:trPr>
          <w:trHeight w:val="216"/>
        </w:trPr>
        <w:tc>
          <w:tcPr>
            <w:tcW w:w="3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pacing w:after="0" w:line="200" w:lineRule="exact"/>
        <w:rPr>
          <w:sz w:val="20"/>
          <w:szCs w:val="20"/>
          <w:color w:val="auto"/>
        </w:rPr>
      </w:pPr>
    </w:p>
    <w:p>
      <w:pPr>
        <w:sectPr>
          <w:pgSz w:w="11900" w:h="16838" w:orient="portrait"/>
          <w:cols w:equalWidth="0" w:num="2">
            <w:col w:w="5020" w:space="720"/>
            <w:col w:w="550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Kristen Fortney, certify that:</w:t>
      </w:r>
    </w:p>
    <w:p>
      <w:pPr>
        <w:spacing w:after="0" w:line="225"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BioAge Labs,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743"/>
        <w:spacing w:after="0" w:line="282"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1404620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Kristen Fortney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Dov Goldstein, certify that:</w:t>
      </w:r>
    </w:p>
    <w:p>
      <w:pPr>
        <w:spacing w:after="0" w:line="225"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BioAge Labs,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743"/>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743"/>
        <w:spacing w:after="0" w:line="282"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 Kristen Fortney, Chief Executive Officer of BioAge Labs,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5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320" w:firstLine="8"/>
        <w:spacing w:after="0" w:line="515" w:lineRule="auto"/>
        <w:tabs>
          <w:tab w:leader="none" w:pos="5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8, 2026</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Kristen Fortney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 Dov Goldstein, Chief Financial Officer of BioAge Labs,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320" w:firstLine="8"/>
        <w:spacing w:after="0" w:line="515" w:lineRule="auto"/>
        <w:tabs>
          <w:tab w:leader="none" w:pos="5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8, 2026</w:t>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18415</wp:posOffset>
            </wp:positionV>
            <wp:extent cx="28200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Roman"/>
      <w:start w:val="3"/>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2026-05-08T08:10:27Z</dcterms:created>
  <dcterms:modified xsi:type="dcterms:W3CDTF">2026-05-08T08:10:27Z</dcterms:modified>
</cp:coreProperties>
</file>