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ioa-20260805.htm"/>
      <w:bookmarkStart w:id="1" w:name="ksbioa202608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BIOAGE LABS,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8"/>
        <w:gridCol w:w="866"/>
        <w:gridCol w:w="870"/>
        <w:gridCol w:w="1846"/>
        <w:gridCol w:w="1336"/>
      </w:tblGrid>
      <w:tr>
        <w:trPr/>
        <w:tc>
          <w:tcPr>
            <w:tcW w:w="9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001-42279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47-4721157</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5885 Hollis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370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Emeryville,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94608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510</w:t>
            </w:r>
            <w:r>
              <w:rPr>
                <w:rFonts w:ascii="Times New Roman" w:hAnsi="Times New Roman"/>
                <w:color w:val="000000"/>
                <w:sz w:val="20"/>
              </w:rPr>
              <w:t xml:space="preserve"> </w:t>
            </w:r>
            <w:r>
              <w:rPr>
                <w:rFonts w:ascii="Times New Roman" w:hAnsi="Times New Roman"/>
                <w:b/>
                <w:color w:val="000000"/>
                <w:sz w:val="20"/>
              </w:rPr>
              <w:t>806-1445</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935" w:type="dxa"/>
        <w:jc w:val="left"/>
        <w:tblInd w:w="0" w:type="dxa"/>
        <w:tblLayout w:type="fixed"/>
        <w:tblCellMar>
          <w:top w:w="28" w:type="dxa"/>
          <w:left w:w="28" w:type="dxa"/>
          <w:bottom w:w="28" w:type="dxa"/>
          <w:right w:w="28" w:type="dxa"/>
        </w:tblCellMar>
      </w:tblPr>
      <w:tblGrid>
        <w:gridCol w:w="3871"/>
        <w:gridCol w:w="146"/>
        <w:gridCol w:w="946"/>
        <w:gridCol w:w="146"/>
        <w:gridCol w:w="3826"/>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BIOA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sz w:val="20"/>
        </w:rPr>
      </w:pPr>
      <w:r>
        <w:rPr>
          <w:rFonts w:ascii="Times New Roman" w:hAnsi="Times New Roman"/>
          <w:color w:val="000000"/>
          <w:sz w:val="20"/>
        </w:rPr>
        <w:t>On August 5, 2026, BioAge Labs, Inc. (the “</w:t>
      </w:r>
      <w:r>
        <w:rPr>
          <w:rFonts w:ascii="Times New Roman" w:hAnsi="Times New Roman"/>
          <w:b/>
          <w:i/>
          <w:color w:val="000000"/>
          <w:sz w:val="20"/>
        </w:rPr>
        <w:t>Company</w:t>
      </w:r>
      <w:r>
        <w:rPr>
          <w:rFonts w:ascii="Times New Roman" w:hAnsi="Times New Roman"/>
          <w:color w:val="000000"/>
          <w:sz w:val="20"/>
        </w:rPr>
        <w:t>”) issued a press release announcing its financial results for the second quarter ended June 30, 2026. A copy of the press release is attached as Exhibit 99.1 to this Current Report on Form 8-K.</w:t>
      </w:r>
    </w:p>
    <w:p>
      <w:pPr>
        <w:pStyle w:val="TextBody"/>
        <w:bidi w:val="0"/>
        <w:jc w:val="left"/>
        <w:rPr>
          <w:rFonts w:ascii="Times New Roman" w:hAnsi="Times New Roman"/>
          <w:sz w:val="20"/>
        </w:rPr>
      </w:pPr>
      <w:r>
        <w:rPr>
          <w:rFonts w:ascii="Times New Roman" w:hAnsi="Times New Roman"/>
          <w:color w:val="000000"/>
          <w:sz w:val="20"/>
        </w:rPr>
        <w:t>The information in this Item 2.02, including Exhibit 99.1 attached to this report, shall not be deemed to be “filed” for purposes of Section 18 of the Securities Exchange Act of 1934, as amended (the “</w:t>
      </w:r>
      <w:r>
        <w:rPr>
          <w:rFonts w:ascii="Times New Roman" w:hAnsi="Times New Roman"/>
          <w:b/>
          <w:i/>
          <w:color w:val="000000"/>
          <w:sz w:val="20"/>
        </w:rPr>
        <w:t>Exchange Act</w:t>
      </w:r>
      <w:r>
        <w:rPr>
          <w:rFonts w:ascii="Times New Roman" w:hAnsi="Times New Roman"/>
          <w:color w:val="000000"/>
          <w:sz w:val="20"/>
        </w:rPr>
        <w:t>”), or otherwise subject to the liabilities of that section or Sections 11 and 12(a)(2) of the Securities Act of 1933, as amended (the “</w:t>
      </w:r>
      <w:r>
        <w:rPr>
          <w:rFonts w:ascii="Times New Roman" w:hAnsi="Times New Roman"/>
          <w:b/>
          <w:i/>
          <w:color w:val="000000"/>
          <w:sz w:val="20"/>
        </w:rPr>
        <w:t>Securities Act</w:t>
      </w:r>
      <w:r>
        <w:rPr>
          <w:rFonts w:ascii="Times New Roman" w:hAnsi="Times New Roman"/>
          <w:color w:val="000000"/>
          <w:sz w:val="20"/>
        </w:rPr>
        <w:t>”). The information contained in this Item 2.02 and in the accompanying Exhibit 99.1 shall not be incorporated by reference into any other filing under the Exchange Act or under the Securities Act, except as shall be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528" w:type="dxa"/>
        <w:jc w:val="left"/>
        <w:tblInd w:w="0" w:type="dxa"/>
        <w:tblLayout w:type="fixed"/>
        <w:tblCellMar>
          <w:top w:w="28" w:type="dxa"/>
          <w:left w:w="28" w:type="dxa"/>
          <w:bottom w:w="28" w:type="dxa"/>
          <w:right w:w="28" w:type="dxa"/>
        </w:tblCellMar>
      </w:tblPr>
      <w:tblGrid>
        <w:gridCol w:w="736"/>
        <w:gridCol w:w="146"/>
        <w:gridCol w:w="6646"/>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20"/>
              </w:rPr>
            </w:pPr>
            <w:r>
              <w:rPr>
                <w:rFonts w:ascii="Times New Roman" w:hAnsi="Times New Roman"/>
                <w:color w:val="000000"/>
                <w:sz w:val="20"/>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Description</w:t>
            </w:r>
          </w:p>
        </w:tc>
      </w:tr>
      <w:tr>
        <w:trPr/>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bioa-ex99_1.htm">
              <w:r>
                <w:rPr>
                  <w:rStyle w:val="InternetLink"/>
                  <w:rFonts w:ascii="Times New Roman" w:hAnsi="Times New Roman"/>
                  <w:color w:val="0000FF"/>
                  <w:sz w:val="20"/>
                  <w:u w:val="single"/>
                </w:rPr>
                <w:t>Press release issued by BioAge Labs, Inc. dated August 5, 2026.</w:t>
              </w:r>
            </w:hyperlink>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369" w:type="dxa"/>
        <w:jc w:val="left"/>
        <w:tblInd w:w="0" w:type="dxa"/>
        <w:tblLayout w:type="fixed"/>
        <w:tblCellMar>
          <w:top w:w="28" w:type="dxa"/>
          <w:left w:w="28" w:type="dxa"/>
          <w:bottom w:w="28" w:type="dxa"/>
          <w:right w:w="28" w:type="dxa"/>
        </w:tblCellMar>
      </w:tblPr>
      <w:tblGrid>
        <w:gridCol w:w="556"/>
        <w:gridCol w:w="1351"/>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BIOAGE LABS,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Dov Goldstein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Dov Goldstein, M.D.</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bioa-ex99_1.htm"/>
      <w:bookmarkStart w:id="3" w:name="ksbioaex99_1"/>
      <w:bookmarkEnd w:id="2"/>
      <w:bookmarkEnd w:id="3"/>
      <w:r>
        <w:rPr>
          <w:rFonts w:ascii="Times New Roman" w:hAnsi="Times New Roman"/>
          <w:b/>
          <w:color w:val="000000"/>
          <w:sz w:val="20"/>
        </w:rPr>
        <w:t>EXHIBIT 99.1</w:t>
      </w:r>
      <w:r>
        <w:br w:type="page"/>
      </w:r>
    </w:p>
    <w:p>
      <w:pPr>
        <w:pStyle w:val="TextBody"/>
        <w:bidi w:val="0"/>
        <w:jc w:val="both"/>
        <w:rPr/>
      </w:pPr>
      <w:r>
        <w:rPr/>
        <w:drawing>
          <wp:inline distT="0" distB="0" distL="0" distR="0">
            <wp:extent cx="491490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914900" cy="752475"/>
                    </a:xfrm>
                    <a:prstGeom prst="rect">
                      <a:avLst/>
                    </a:prstGeom>
                  </pic:spPr>
                </pic:pic>
              </a:graphicData>
            </a:graphic>
          </wp:inline>
        </w:drawing>
      </w:r>
    </w:p>
    <w:p>
      <w:pPr>
        <w:pStyle w:val="TextBody"/>
        <w:bidi w:val="0"/>
        <w:jc w:val="both"/>
        <w:rPr/>
      </w:pPr>
      <w:r>
        <w:rPr/>
        <w:t> </w:t>
      </w:r>
    </w:p>
    <w:p>
      <w:pPr>
        <w:pStyle w:val="TextBody"/>
        <w:bidi w:val="0"/>
        <w:jc w:val="both"/>
        <w:rPr>
          <w:rFonts w:ascii="Arial" w:hAnsi="Arial"/>
          <w:b/>
          <w:color w:val="000000"/>
          <w:sz w:val="24"/>
        </w:rPr>
      </w:pPr>
      <w:r>
        <w:rPr>
          <w:rFonts w:ascii="Arial" w:hAnsi="Arial"/>
          <w:b/>
          <w:color w:val="000000"/>
          <w:sz w:val="24"/>
        </w:rPr>
        <w:t>BioAge Labs Reports Second Quarter 2026 Financial Results and Provides Business Updates</w:t>
      </w:r>
    </w:p>
    <w:p>
      <w:pPr>
        <w:pStyle w:val="TextBody"/>
        <w:bidi w:val="0"/>
        <w:jc w:val="both"/>
        <w:rPr/>
      </w:pPr>
      <w:r>
        <w:rPr/>
        <w:t> </w:t>
      </w:r>
    </w:p>
    <w:p>
      <w:pPr>
        <w:pStyle w:val="TextBody"/>
        <w:bidi w:val="0"/>
        <w:jc w:val="both"/>
        <w:rPr>
          <w:rFonts w:ascii="Arial" w:hAnsi="Arial"/>
          <w:i/>
          <w:color w:val="000000"/>
          <w:sz w:val="24"/>
        </w:rPr>
      </w:pPr>
      <w:r>
        <w:rPr>
          <w:rFonts w:ascii="Arial" w:hAnsi="Arial"/>
          <w:i/>
          <w:color w:val="000000"/>
          <w:sz w:val="24"/>
        </w:rPr>
        <w:t>First participant dosed in QUELL-CV, a Phase 2 dose-ranging proof-of-concept trial of BGE-102 measuring inflammatory and cardiometabolic biomarkers; topline data anticipated in the second half of 2026</w:t>
      </w:r>
    </w:p>
    <w:p>
      <w:pPr>
        <w:pStyle w:val="TextBody"/>
        <w:bidi w:val="0"/>
        <w:jc w:val="both"/>
        <w:rPr/>
      </w:pPr>
      <w:r>
        <w:rPr/>
        <w:t> </w:t>
      </w:r>
    </w:p>
    <w:p>
      <w:pPr>
        <w:pStyle w:val="TextBody"/>
        <w:bidi w:val="0"/>
        <w:jc w:val="both"/>
        <w:rPr>
          <w:rFonts w:ascii="Arial" w:hAnsi="Arial"/>
          <w:i/>
          <w:color w:val="000000"/>
          <w:sz w:val="24"/>
        </w:rPr>
      </w:pPr>
      <w:r>
        <w:rPr>
          <w:rFonts w:ascii="Arial" w:hAnsi="Arial"/>
          <w:i/>
          <w:color w:val="000000"/>
          <w:sz w:val="24"/>
        </w:rPr>
        <w:t>QUELL-DME, Phase 1b/2a proof-of-concept trial of BGE-102 in diabetic macular edema, planned to initiate in mid-2026, with data anticipated in mid-2027; results expected to support development across inflammation-driven retinal diseases</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4"/>
        </w:rPr>
        <w:t>Hosted R&amp;D Day focused on NLRP3 inhibition, featuring Phase 1 data for BGE-102</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40"/>
        <w:jc w:val="both"/>
        <w:rPr>
          <w:rFonts w:ascii="Arial" w:hAnsi="Arial"/>
          <w:color w:val="000000"/>
          <w:sz w:val="24"/>
        </w:rPr>
      </w:pPr>
      <w:r>
        <w:rPr>
          <w:rFonts w:ascii="Arial" w:hAnsi="Arial"/>
          <w:color w:val="000000"/>
          <w:sz w:val="24"/>
        </w:rPr>
        <w:t>EMERYVILLE, Calif., August 5, 2026 (GLOBE NEWSWIRE) -- BioAge Labs, Inc. (NASDAQ: BIOA) ("BioAge" or "the Company"), a clinical-stage biopharmaceutical company developing therapeutic product candidates for cardiometabolic diseases by targeting the biology of human aging, today provided business updates and reported its second quarter 2026 financial results.</w:t>
      </w:r>
    </w:p>
    <w:p>
      <w:pPr>
        <w:pStyle w:val="TextBody"/>
        <w:bidi w:val="0"/>
        <w:spacing w:before="0" w:after="240"/>
        <w:jc w:val="both"/>
        <w:rPr>
          <w:rFonts w:ascii="Arial" w:hAnsi="Arial"/>
          <w:color w:val="000000"/>
          <w:sz w:val="24"/>
        </w:rPr>
      </w:pPr>
      <w:r>
        <w:rPr>
          <w:rFonts w:ascii="Arial" w:hAnsi="Arial"/>
          <w:color w:val="000000"/>
          <w:sz w:val="24"/>
        </w:rPr>
        <w:t>"NLRP3 sits at the apex of the inflammatory cascade that drives a range of diseases," said Kristen Fortney, Ph.D., CEO and co-founder of BioAge. "Our Phase 1 data show that BGE-102 is a potential best-in-class NLRP3 inhibitor: a well-tolerated once-daily pill that delivered up to 98% suppression of IL-1β and brought hsCRP down to normal levels in most participants. We have dosed the first participant in QUELL-CV, our Phase 2 trial in patients with obesity and inflammation at elevated cardiovascular risk, with topline data anticipated in the second half of 2026. We also plan to start a second proof-of-concept trial this year in diabetic macular edema. These studies will test the broad potential of NLRP3 inhibition across inflammasome-driven diseases, and we are actively evaluating additional indications where this mechanism can deliver meaningful benefit. With a strong cash position, we are well positioned to advance BGE-102 across multiple opportunities and continue progressing the broader BioAge pipeline."</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Arial" w:hAnsi="Arial"/>
          <w:b/>
          <w:color w:val="000000"/>
          <w:sz w:val="24"/>
        </w:rPr>
      </w:pPr>
      <w:r>
        <w:rPr>
          <w:rFonts w:ascii="Arial" w:hAnsi="Arial"/>
          <w:b/>
          <w:color w:val="000000"/>
          <w:sz w:val="24"/>
        </w:rPr>
        <w:t>Second Quarter 2026 Business Highlights</w:t>
      </w:r>
    </w:p>
    <w:p>
      <w:pPr>
        <w:pStyle w:val="TextBody"/>
        <w:bidi w:val="0"/>
        <w:spacing w:before="0" w:after="240"/>
        <w:jc w:val="both"/>
        <w:rPr>
          <w:rFonts w:ascii="Arial" w:hAnsi="Arial"/>
          <w:i/>
          <w:color w:val="000000"/>
          <w:sz w:val="24"/>
        </w:rPr>
      </w:pPr>
      <w:r>
        <w:rPr>
          <w:rFonts w:ascii="Arial" w:hAnsi="Arial"/>
          <w:i/>
          <w:color w:val="000000"/>
          <w:sz w:val="24"/>
        </w:rPr>
        <w:t>BGE-102 clinical development: QUELL-CV Phase 2 trial</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4"/>
        </w:rPr>
        <w:t xml:space="preserve">In June 2026, BioAge announced that the first participant was dosed in </w:t>
      </w:r>
      <w:r>
        <w:rPr>
          <w:rFonts w:ascii="Arial" w:hAnsi="Arial"/>
          <w:sz w:val="24"/>
        </w:rPr>
        <w:t>QUELL-CV,</w:t>
      </w:r>
      <w:r>
        <w:rPr>
          <w:color w:val="000000"/>
        </w:rPr>
        <w:t xml:space="preserve"> </w:t>
      </w:r>
      <w:r>
        <w:rPr>
          <w:rFonts w:ascii="Arial" w:hAnsi="Arial"/>
          <w:color w:val="000000"/>
          <w:sz w:val="24"/>
        </w:rPr>
        <w:t>a Phase 2 dose-ranging proof-of-concept trial of BGE-102, its oral, brain-penetrant NLRP3 inhibitor, measuring inflammatory and cardiometabolic biomarkers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QUELL-CV is a randomized, double-blind, placebo-controlled trial evaluating three once-daily oral doses of BGE-102 (30 mg, 60 mg, and 90 mg) against placebo in approximately 160 adults with obesity and elevated baseline inflammation.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 xml:space="preserve">The primary endpoint is percent change from baseline in hsCRP, a pharmacodynamic measure of NLRP3 pathway inhibition, over 12 weeks of dosing.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The trial is designed to characterize the dose-response relationship for BGE-102 and to support dose selection for further development, with topline data anticipated in the second half of 2026.</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4"/>
        </w:rPr>
        <w:t xml:space="preserve">QUELL-CV builds on the </w:t>
      </w:r>
      <w:r>
        <w:rPr>
          <w:rFonts w:ascii="Arial" w:hAnsi="Arial"/>
          <w:sz w:val="24"/>
        </w:rPr>
        <w:t>full Phase 1 dataset</w:t>
      </w:r>
      <w:r>
        <w:rPr>
          <w:color w:val="000000"/>
        </w:rPr>
        <w:t xml:space="preserve"> </w:t>
      </w:r>
      <w:r>
        <w:rPr>
          <w:rFonts w:ascii="Arial" w:hAnsi="Arial"/>
          <w:color w:val="000000"/>
          <w:sz w:val="24"/>
        </w:rPr>
        <w:t xml:space="preserve">for BGE-102 in which BGE-102 achieved up to 98% suppression of IL-1β at trough in an ex vivo whole-blood assay, along with median hsCRP reductions of 86% from baseline at both 60 mg and 120 mg once daily. </w:t>
      </w:r>
    </w:p>
    <w:p>
      <w:pPr>
        <w:pStyle w:val="TextBody"/>
        <w:bidi w:val="0"/>
        <w:spacing w:before="0" w:after="240"/>
        <w:jc w:val="left"/>
        <w:rPr>
          <w:color w:val="000000"/>
        </w:rPr>
      </w:pPr>
      <w:r>
        <w:rPr>
          <w:color w:val="000000"/>
        </w:rPr>
        <w:t>●</w:t>
      </w:r>
    </w:p>
    <w:p>
      <w:pPr>
        <w:pStyle w:val="TextBody"/>
        <w:bidi w:val="0"/>
        <w:spacing w:before="0" w:after="240"/>
        <w:jc w:val="left"/>
        <w:rPr>
          <w:rFonts w:ascii="Arial" w:hAnsi="Arial"/>
          <w:color w:val="000000"/>
          <w:sz w:val="24"/>
        </w:rPr>
      </w:pPr>
      <w:r>
        <w:rPr>
          <w:rFonts w:ascii="Arial" w:hAnsi="Arial"/>
          <w:color w:val="000000"/>
          <w:sz w:val="24"/>
        </w:rPr>
        <w:t>BGE-102 was well tolerated across all dose levels evaluated, with no serious adverse events, no treatment-emergent adverse events leading to discontinuation, and no clinically meaningful changes in vital signs, ECGs, or laboratory values.</w:t>
      </w:r>
    </w:p>
    <w:p>
      <w:pPr>
        <w:pStyle w:val="TextBody"/>
        <w:bidi w:val="0"/>
        <w:spacing w:before="0" w:after="240"/>
        <w:jc w:val="both"/>
        <w:rPr>
          <w:rFonts w:ascii="Arial" w:hAnsi="Arial"/>
          <w:i/>
          <w:color w:val="000000"/>
          <w:sz w:val="24"/>
        </w:rPr>
      </w:pPr>
      <w:r>
        <w:rPr>
          <w:rFonts w:ascii="Arial" w:hAnsi="Arial"/>
          <w:i/>
          <w:color w:val="000000"/>
          <w:sz w:val="24"/>
        </w:rPr>
        <w:t>BGE-102 clinical development: QUELL-DME Phase 1b/2a trial</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4"/>
        </w:rPr>
        <w:t xml:space="preserve">Following an indication expansion into </w:t>
      </w:r>
      <w:r>
        <w:rPr>
          <w:rFonts w:ascii="Arial" w:hAnsi="Arial"/>
          <w:sz w:val="24"/>
        </w:rPr>
        <w:t>ocular diseases</w:t>
      </w:r>
      <w:r>
        <w:rPr>
          <w:rFonts w:ascii="Arial" w:hAnsi="Arial"/>
          <w:color w:val="000000"/>
          <w:sz w:val="24"/>
        </w:rPr>
        <w:t>, the Company plans to initiate QUELL-DME, a Phase 1b/2a proof-of-concept trial of BGE-102 in patients with diabetic macular edema, in mid-2026; results are anticipated in mid-2027.</w:t>
      </w:r>
    </w:p>
    <w:p>
      <w:pPr>
        <w:pStyle w:val="TextBody"/>
        <w:bidi w:val="0"/>
        <w:spacing w:before="0" w:after="240"/>
        <w:jc w:val="left"/>
        <w:rPr>
          <w:color w:val="000000"/>
        </w:rPr>
      </w:pPr>
      <w:r>
        <w:rPr>
          <w:color w:val="000000"/>
        </w:rPr>
        <w:t>●</w:t>
      </w:r>
    </w:p>
    <w:p>
      <w:pPr>
        <w:pStyle w:val="TextBody"/>
        <w:bidi w:val="0"/>
        <w:spacing w:before="0" w:after="240"/>
        <w:jc w:val="left"/>
        <w:rPr>
          <w:rFonts w:ascii="Arial" w:hAnsi="Arial"/>
          <w:color w:val="000000"/>
          <w:sz w:val="24"/>
        </w:rPr>
      </w:pPr>
      <w:r>
        <w:rPr>
          <w:rFonts w:ascii="Arial" w:hAnsi="Arial"/>
          <w:color w:val="000000"/>
          <w:sz w:val="24"/>
        </w:rPr>
        <w:t>QUELL-DME is designed to demonstrate pharmacodynamic target engagement for BGE-102 in the eye, potentially supporting future development in inflammation-driven retinal diseases.</w:t>
      </w:r>
    </w:p>
    <w:p>
      <w:pPr>
        <w:pStyle w:val="TextBody"/>
        <w:bidi w:val="0"/>
        <w:spacing w:before="0" w:after="240"/>
        <w:jc w:val="both"/>
        <w:rPr>
          <w:rFonts w:ascii="Arial" w:hAnsi="Arial"/>
          <w:i/>
          <w:color w:val="000000"/>
          <w:sz w:val="24"/>
        </w:rPr>
      </w:pPr>
      <w:r>
        <w:rPr>
          <w:rFonts w:ascii="Arial" w:hAnsi="Arial"/>
          <w:i/>
          <w:color w:val="000000"/>
          <w:sz w:val="24"/>
        </w:rPr>
        <w:t>R&amp;D Day on NLRP3 inhibition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4"/>
        </w:rPr>
      </w:pPr>
      <w:r>
        <w:rPr>
          <w:rFonts w:ascii="Arial" w:hAnsi="Arial"/>
          <w:color w:val="000000"/>
          <w:sz w:val="24"/>
        </w:rPr>
        <w:t>In May 2026, BioAge hosted an R&amp;D Day featuring Phase 1 clinical data for BGE-102 and the therapeutic rationale for targeting NLRP3 in multiple disease areas driven by inflammasome activation. A recording of the webcast is available at https://ir.bioagelabs.com/news-events/events.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Arial" w:hAnsi="Arial"/>
          <w:i/>
          <w:color w:val="000000"/>
          <w:sz w:val="24"/>
        </w:rPr>
      </w:pPr>
      <w:r>
        <w:rPr>
          <w:rFonts w:ascii="Arial" w:hAnsi="Arial"/>
          <w:i/>
          <w:color w:val="000000"/>
          <w:sz w:val="24"/>
        </w:rPr>
        <w:t>APJ agonist program advancement</w:t>
      </w:r>
    </w:p>
    <w:p>
      <w:pPr>
        <w:pStyle w:val="TextBody"/>
        <w:bidi w:val="0"/>
        <w:spacing w:before="0" w:after="240"/>
        <w:jc w:val="left"/>
        <w:rPr>
          <w:color w:val="000000"/>
        </w:rPr>
      </w:pPr>
      <w:r>
        <w:rPr>
          <w:color w:val="000000"/>
        </w:rPr>
        <w:t>●</w:t>
      </w:r>
    </w:p>
    <w:p>
      <w:pPr>
        <w:pStyle w:val="TextBody"/>
        <w:bidi w:val="0"/>
        <w:spacing w:before="0" w:after="240"/>
        <w:jc w:val="left"/>
        <w:rPr>
          <w:rFonts w:ascii="Arial" w:hAnsi="Arial"/>
          <w:color w:val="000000"/>
          <w:sz w:val="24"/>
        </w:rPr>
      </w:pPr>
      <w:r>
        <w:rPr>
          <w:rFonts w:ascii="Arial" w:hAnsi="Arial"/>
          <w:color w:val="000000"/>
          <w:sz w:val="24"/>
        </w:rPr>
        <w:t>BioAge continues to advance its oral and injectable APJ agonist development strategy, including a novel APJ agonist antibody that is the subject of an option agreement with JiKang Therapeutics. The Company intends to file its first IND for an APJ program by year-end 2026.</w:t>
      </w:r>
    </w:p>
    <w:p>
      <w:pPr>
        <w:pStyle w:val="TextBody"/>
        <w:bidi w:val="0"/>
        <w:spacing w:before="0" w:after="240"/>
        <w:jc w:val="both"/>
        <w:rPr>
          <w:rFonts w:ascii="Arial" w:hAnsi="Arial"/>
          <w:i/>
          <w:color w:val="000000"/>
          <w:sz w:val="24"/>
        </w:rPr>
      </w:pPr>
      <w:r>
        <w:rPr>
          <w:rFonts w:ascii="Arial" w:hAnsi="Arial"/>
          <w:i/>
          <w:color w:val="000000"/>
          <w:sz w:val="24"/>
        </w:rPr>
        <w:t>Strategic partnerships and discovery platform</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BioAge's multi-year research collaboration with Novartis, focused on discovering novel therapeutic targets at the intersection of aging biology and exercise physiology, continued to advance, with multiple targets under evaluation.</w:t>
      </w:r>
    </w:p>
    <w:p>
      <w:pPr>
        <w:pStyle w:val="TextBody"/>
        <w:bidi w:val="0"/>
        <w:spacing w:before="0" w:after="240"/>
        <w:jc w:val="left"/>
        <w:rPr>
          <w:color w:val="000000"/>
        </w:rPr>
      </w:pPr>
      <w:r>
        <w:rPr>
          <w:color w:val="000000"/>
        </w:rPr>
        <w:t>●</w:t>
      </w:r>
    </w:p>
    <w:p>
      <w:pPr>
        <w:pStyle w:val="TextBody"/>
        <w:bidi w:val="0"/>
        <w:spacing w:before="0" w:after="240"/>
        <w:jc w:val="left"/>
        <w:rPr>
          <w:rFonts w:ascii="Arial" w:hAnsi="Arial"/>
          <w:color w:val="000000"/>
          <w:sz w:val="24"/>
        </w:rPr>
      </w:pPr>
      <w:r>
        <w:rPr>
          <w:rFonts w:ascii="Arial" w:hAnsi="Arial"/>
          <w:color w:val="000000"/>
          <w:sz w:val="24"/>
        </w:rPr>
        <w:t>The Company also continued to progress its strategic collaboration with Lilly ExploR&amp;D for the development of therapeutic antibodies targeting novel metabolic aging targets.</w:t>
      </w:r>
    </w:p>
    <w:p>
      <w:pPr>
        <w:pStyle w:val="TextBody"/>
        <w:bidi w:val="0"/>
        <w:jc w:val="both"/>
        <w:rPr/>
      </w:pPr>
      <w:r>
        <w:rPr/>
        <w:t> </w:t>
      </w:r>
    </w:p>
    <w:p>
      <w:pPr>
        <w:pStyle w:val="TextBody"/>
        <w:bidi w:val="0"/>
        <w:jc w:val="both"/>
        <w:rPr>
          <w:rFonts w:ascii="Arial" w:hAnsi="Arial"/>
          <w:b/>
          <w:color w:val="000000"/>
          <w:sz w:val="24"/>
        </w:rPr>
      </w:pPr>
      <w:r>
        <w:rPr>
          <w:rFonts w:ascii="Arial" w:hAnsi="Arial"/>
          <w:b/>
          <w:color w:val="000000"/>
          <w:sz w:val="24"/>
        </w:rPr>
        <w:t>Second Quarter 2026 Financial Results</w:t>
      </w:r>
    </w:p>
    <w:p>
      <w:pPr>
        <w:pStyle w:val="TextBody"/>
        <w:bidi w:val="0"/>
        <w:jc w:val="both"/>
        <w:rPr/>
      </w:pPr>
      <w:r>
        <w:rPr/>
        <w:t> </w:t>
      </w:r>
    </w:p>
    <w:p>
      <w:pPr>
        <w:pStyle w:val="TextBody"/>
        <w:bidi w:val="0"/>
        <w:spacing w:before="0" w:after="240"/>
        <w:jc w:val="both"/>
        <w:rPr>
          <w:rFonts w:ascii="Arial" w:hAnsi="Arial"/>
          <w:color w:val="000000"/>
          <w:sz w:val="24"/>
        </w:rPr>
      </w:pPr>
      <w:r>
        <w:rPr>
          <w:rFonts w:ascii="Arial" w:hAnsi="Arial"/>
          <w:color w:val="000000"/>
          <w:sz w:val="24"/>
        </w:rPr>
        <w:t>Collaboration revenue was $2.4 million for each of the quarters ended June 30, 2026 and 2025.</w:t>
      </w:r>
    </w:p>
    <w:p>
      <w:pPr>
        <w:pStyle w:val="TextBody"/>
        <w:bidi w:val="0"/>
        <w:spacing w:before="0" w:after="240"/>
        <w:jc w:val="both"/>
        <w:rPr>
          <w:rFonts w:ascii="Arial" w:hAnsi="Arial"/>
          <w:color w:val="000000"/>
          <w:sz w:val="24"/>
        </w:rPr>
      </w:pPr>
      <w:r>
        <w:rPr>
          <w:rFonts w:ascii="Arial" w:hAnsi="Arial"/>
          <w:color w:val="000000"/>
          <w:sz w:val="24"/>
        </w:rPr>
        <w:t>Research and development expenses were $24.4 million for the quarter ended June 30, 2026, compared to $19.8 million for the same period in 2025. The $4.6 million increase in research and development expenses was primarily attributable to a $7.9 million increase in direct costs related to BioAge’s BGE-102 program associated with the initiation of QUELL-CV, start-up costs related to the planned initiation of QUELL-DME, licensing fees, and drug-product manufacturing. The increase was further driven by a $1.5 million increase in personnel-related expenses, primarily reflecting higher stock-based compensation expense associated with new option grants to employees, and a $0.3 million increase in allocated facility and other expenses primarily driven by higher non-program specific consulting fees. These increases were partially offset by a $3.3 million decrease in direct costs for other programs driven by lower licensing costs and a $1.9 million decrease in azelaprag direct costs following termination of its development in January 2025.</w:t>
      </w:r>
    </w:p>
    <w:p>
      <w:pPr>
        <w:pStyle w:val="TextBody"/>
        <w:bidi w:val="0"/>
        <w:spacing w:before="0" w:after="240"/>
        <w:jc w:val="both"/>
        <w:rPr>
          <w:rFonts w:ascii="Times New Roman" w:hAnsi="Times New Roman"/>
          <w:sz w:val="20"/>
        </w:rPr>
      </w:pPr>
      <w:r>
        <w:rPr>
          <w:rFonts w:ascii="Arial" w:hAnsi="Arial"/>
          <w:color w:val="000000"/>
          <w:sz w:val="24"/>
        </w:rPr>
        <w:t>General and administrative expenses were $7.4 million for the quarter ended June 30, 2026, compared to $7.3 million for the same period in 2025. The $0.1 million increase was primarily driven by a $0.6 million increase in personnel-related expenses, primarily reflecting higher stock-based compensation expense associated with new option grants to employees, executives, board members and advisors, and a $0.1 million increase in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4"/>
        </w:rPr>
      </w:pPr>
      <w:r>
        <w:rPr>
          <w:rFonts w:ascii="Arial" w:hAnsi="Arial"/>
          <w:color w:val="000000"/>
          <w:sz w:val="24"/>
        </w:rPr>
        <w:t>corporate insurance expense. These increases were partially offset by a $0.6 million decrease in legal fees.</w:t>
      </w:r>
    </w:p>
    <w:p>
      <w:pPr>
        <w:pStyle w:val="TextBody"/>
        <w:bidi w:val="0"/>
        <w:spacing w:before="0" w:after="240"/>
        <w:jc w:val="both"/>
        <w:rPr>
          <w:rFonts w:ascii="Arial" w:hAnsi="Arial"/>
          <w:color w:val="000000"/>
          <w:sz w:val="24"/>
        </w:rPr>
      </w:pPr>
      <w:r>
        <w:rPr>
          <w:rFonts w:ascii="Arial" w:hAnsi="Arial"/>
          <w:color w:val="000000"/>
          <w:sz w:val="24"/>
        </w:rPr>
        <w:t>Net loss was $26.1 million for the quarter ended June 30, 2026, or $0.58 per weighted-average common share outstanding, basic and diluted, compared to a net loss of $21.6 million, or $0.60 per weighted-average common share outstanding, basic and diluted, for the same period in 2025.</w:t>
      </w:r>
    </w:p>
    <w:p>
      <w:pPr>
        <w:pStyle w:val="TextBody"/>
        <w:bidi w:val="0"/>
        <w:spacing w:before="0" w:after="240"/>
        <w:jc w:val="both"/>
        <w:rPr>
          <w:rFonts w:ascii="Arial" w:hAnsi="Arial"/>
          <w:color w:val="000000"/>
          <w:sz w:val="24"/>
        </w:rPr>
      </w:pPr>
      <w:r>
        <w:rPr>
          <w:rFonts w:ascii="Arial" w:hAnsi="Arial"/>
          <w:color w:val="000000"/>
          <w:sz w:val="24"/>
        </w:rPr>
        <w:t>As of June 30, 2026, BioAge had approximately $381.3 million in cash, cash equivalents, and marketable securities. Based on the Company’s current operating plan, BioAge estimates that existing cash, cash equivalents, and marketable securities will be sufficient to fund operations and capital expenses through 2029.</w:t>
      </w:r>
    </w:p>
    <w:p>
      <w:pPr>
        <w:pStyle w:val="TextBody"/>
        <w:bidi w:val="0"/>
        <w:jc w:val="both"/>
        <w:rPr/>
      </w:pPr>
      <w:r>
        <w:rPr/>
        <w:t> </w:t>
      </w:r>
    </w:p>
    <w:p>
      <w:pPr>
        <w:pStyle w:val="TextBody"/>
        <w:bidi w:val="0"/>
        <w:jc w:val="both"/>
        <w:rPr>
          <w:rFonts w:ascii="Arial" w:hAnsi="Arial"/>
          <w:b/>
          <w:color w:val="000000"/>
          <w:sz w:val="24"/>
        </w:rPr>
      </w:pPr>
      <w:r>
        <w:rPr>
          <w:rFonts w:ascii="Arial" w:hAnsi="Arial"/>
          <w:b/>
          <w:color w:val="000000"/>
          <w:sz w:val="24"/>
        </w:rPr>
        <w:t>About BioAge Labs, Inc.</w:t>
      </w:r>
    </w:p>
    <w:p>
      <w:pPr>
        <w:pStyle w:val="TextBody"/>
        <w:bidi w:val="0"/>
        <w:jc w:val="both"/>
        <w:rPr/>
      </w:pPr>
      <w:r>
        <w:rPr/>
        <w:t> </w:t>
      </w:r>
    </w:p>
    <w:p>
      <w:pPr>
        <w:pStyle w:val="TextBody"/>
        <w:bidi w:val="0"/>
        <w:jc w:val="both"/>
        <w:rPr>
          <w:rFonts w:ascii="Arial" w:hAnsi="Arial"/>
          <w:color w:val="0F0F0F"/>
          <w:sz w:val="24"/>
        </w:rPr>
      </w:pPr>
      <w:r>
        <w:rPr>
          <w:rFonts w:ascii="Arial" w:hAnsi="Arial"/>
          <w:color w:val="0F0F0F"/>
          <w:sz w:val="24"/>
        </w:rPr>
        <w:t>BioAge is a clinical-stage biopharmaceutical company developing therapeutic product candidates for cardiometabolic diseases by targeting the biology of human aging. The Company's lead product candidate, BGE-102, is a potent, orally bioavailable, brain-penetrant small-molecule NLRP3 inhibitor being developed for diseases driven by inflammation including retinal diseases such as diabetic macular edema. BGE-102 has completed a Phase 1 SAD/MAD trial demonstrating a well-tolerated profile and potential best-in-class reductions in hsCRP and other inflammatory biomarkers in participants with obesity and elevated inflammatory markers such as hsCRP. Phase 2 proof-of-concept data are anticipated in the second half of 2026, and Phase 1b/2a diabetic macular edema proof-of-concept data are anticipated in mid-2027. The Company is also developing long-acting injectable and oral small molecule APJ agonists for obesity. BioAge’s additional preclinical programs, which leverage insights from the Company’s proprietary discovery platform built on human longevity data, address key pathways involved in metabolic aging.</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F0F0F"/>
          <w:sz w:val="24"/>
        </w:rPr>
      </w:pPr>
      <w:r>
        <w:rPr>
          <w:rFonts w:ascii="Arial" w:hAnsi="Arial"/>
          <w:b/>
          <w:color w:val="0F0F0F"/>
          <w:sz w:val="24"/>
        </w:rPr>
        <w:t>Forward-Looking Statements</w:t>
      </w:r>
    </w:p>
    <w:p>
      <w:pPr>
        <w:pStyle w:val="TextBody"/>
        <w:bidi w:val="0"/>
        <w:jc w:val="both"/>
        <w:rPr/>
      </w:pPr>
      <w:r>
        <w:rPr/>
        <w:t> </w:t>
      </w:r>
    </w:p>
    <w:p>
      <w:pPr>
        <w:pStyle w:val="TextBody"/>
        <w:bidi w:val="0"/>
        <w:jc w:val="both"/>
        <w:rPr>
          <w:rFonts w:ascii="Times New Roman" w:hAnsi="Times New Roman"/>
          <w:sz w:val="20"/>
        </w:rPr>
      </w:pPr>
      <w:r>
        <w:rPr>
          <w:rFonts w:ascii="Arial" w:hAnsi="Arial"/>
          <w:color w:val="0F0F0F"/>
          <w:sz w:val="24"/>
        </w:rPr>
        <w:t>This press release contains “forward-looking statements” within the meaning of, and made pursuant to the safe harbor provisions of, the Private Securities Litigation Reform Act of 1995. In some cases, you can identify forward-looking statements by terms such as “aim,” “may,” “will,” “should,” “expect,” “forecast,” “plan,” “anticipate,” “could,” “intend,” “target,” “project,” “contemplate,” “believe,” “estimate,” “predict,” “potential” or “continue” or the negative of these terms or other similar expressions, although not all forward-looking statements contain these words. All statements other than statements of historical</w:t>
      </w:r>
      <w:r>
        <w:rPr>
          <w:rFonts w:ascii="Times New Roman" w:hAnsi="Times New Roman"/>
          <w:color w:val="0F0F0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F0F0F"/>
          <w:sz w:val="24"/>
        </w:rPr>
      </w:pPr>
      <w:r>
        <w:rPr>
          <w:rFonts w:ascii="Arial" w:hAnsi="Arial"/>
          <w:color w:val="0F0F0F"/>
          <w:sz w:val="24"/>
        </w:rPr>
        <w:t>fact contained in this press release, including without limitation statements regarding our plans to develop and commercialize our product candidates, including BGE-102 and our APJ programs, the potential for BGE-102 as a treatment for diabetic macular edema, the expected timeline for data readouts from our ongoing Phase 2 clinical trial, the expected timing and results of our ongoing or planned preclinical studies and clinical trials, risks associated with clinical trials, including our ability to adequately manage clinical activities for BGE-102 and our APJ programs, unexpected concerns that may arise from additional data or analysis obtained during clinical trials, the timing of and our ability to obtain and maintain regulatory approvals, the clinical utility of our future product candidates, our commercialization, marketing and manufacturing capabilities and strategy, our expectations about the willingness of healthcare professionals to use our product candidates, the sufficiency of our cash, cash equivalents and marketable securities, general economic conditions, the impact of industry and market conditions on our operations, including fluctuating interest rates and inflation, increased volatility in the debt and equity markets, legislative or regulatory healthcare reforms in the United States, significant political, trade or regulatory developments, including tariffs, federal government shutdowns, or shifting priorities within the U.S. Food and Drug Administration, cybersecurity incidents, and global regional conflicts, and the plans and objectives of management for future operations and capital expenditures are forward-looking statements.</w:t>
      </w:r>
    </w:p>
    <w:p>
      <w:pPr>
        <w:pStyle w:val="TextBody"/>
        <w:bidi w:val="0"/>
        <w:jc w:val="both"/>
        <w:rPr>
          <w:rFonts w:ascii="Arial" w:hAnsi="Arial"/>
          <w:color w:val="0F0F0F"/>
          <w:sz w:val="24"/>
        </w:rPr>
      </w:pPr>
      <w:r>
        <w:rPr>
          <w:rFonts w:ascii="Arial" w:hAnsi="Arial"/>
          <w:color w:val="0F0F0F"/>
          <w:sz w:val="24"/>
        </w:rPr>
        <w:t>The forward-looking statements in this press release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known and unknown risks, uncertainties and assumptions, including those described under the headings “Risk Factors” and “Management’s Discussion and Analysis of Financial Condition and Results of Operations” included in BioAge’s Quarterly Report on Form 10-Q filed with the U.S. Securities and Exchange Commission (SEC) on August 5, 2026, and BioAge’s other filings with the SEC filed from time to time.</w:t>
      </w:r>
    </w:p>
    <w:p>
      <w:pPr>
        <w:pStyle w:val="TextBody"/>
        <w:bidi w:val="0"/>
        <w:jc w:val="both"/>
        <w:rPr>
          <w:rFonts w:ascii="Times New Roman" w:hAnsi="Times New Roman"/>
          <w:sz w:val="20"/>
        </w:rPr>
      </w:pPr>
      <w:r>
        <w:rPr>
          <w:rFonts w:ascii="Arial" w:hAnsi="Arial"/>
          <w:color w:val="0F0F0F"/>
          <w:sz w:val="24"/>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BioAge undertakes no obligation</w:t>
      </w:r>
      <w:r>
        <w:rPr>
          <w:rFonts w:ascii="Times New Roman" w:hAnsi="Times New Roman"/>
          <w:color w:val="0F0F0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F0F0F"/>
          <w:sz w:val="24"/>
        </w:rPr>
      </w:pPr>
      <w:r>
        <w:rPr>
          <w:rFonts w:ascii="Arial" w:hAnsi="Arial"/>
          <w:color w:val="0F0F0F"/>
          <w:sz w:val="24"/>
        </w:rPr>
        <w:t>to publicly update any forward-looking statement, whether written or oral, that may be made from time to time, whether as a result of new information, future developments or otherwise.</w:t>
      </w:r>
    </w:p>
    <w:p>
      <w:pPr>
        <w:pStyle w:val="TextBody"/>
        <w:bidi w:val="0"/>
        <w:jc w:val="both"/>
        <w:rPr>
          <w:rFonts w:ascii="Times New Roman" w:hAnsi="Times New Roman"/>
          <w:sz w:val="20"/>
        </w:rPr>
      </w:pPr>
      <w:r>
        <w:rPr>
          <w:rFonts w:ascii="Arial" w:hAnsi="Arial"/>
          <w:b/>
          <w:color w:val="0F0F0F"/>
          <w:sz w:val="24"/>
        </w:rPr>
        <w:br/>
      </w:r>
      <w:r>
        <w:rPr>
          <w:rFonts w:ascii="Arial" w:hAnsi="Arial"/>
          <w:b/>
          <w:color w:val="000000"/>
          <w:sz w:val="24"/>
        </w:rPr>
        <w:t>Contacts</w:t>
      </w:r>
    </w:p>
    <w:p>
      <w:pPr>
        <w:pStyle w:val="TextBody"/>
        <w:bidi w:val="0"/>
        <w:jc w:val="both"/>
        <w:rPr>
          <w:rFonts w:ascii="Times New Roman" w:hAnsi="Times New Roman"/>
          <w:sz w:val="20"/>
        </w:rPr>
      </w:pPr>
      <w:r>
        <w:rPr>
          <w:rFonts w:ascii="Arial" w:hAnsi="Arial"/>
          <w:color w:val="000000"/>
          <w:sz w:val="24"/>
        </w:rPr>
        <w:t>PR: Chris Patil, media@bioagelabs.com</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4"/>
        </w:rPr>
        <w:t>IR: Dov Goldstein, ir@bioagelabs.com</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4"/>
        </w:rPr>
        <w:t>Partnering: partnering@bioagelabs.com</w:t>
      </w:r>
      <w:r>
        <w:rPr>
          <w:rFonts w:ascii="Times New Roman" w:hAnsi="Times New Roman"/>
          <w:color w:val="000000"/>
          <w:sz w:val="20"/>
        </w:rPr>
        <w:t xml:space="preserve"> </w:t>
      </w:r>
    </w:p>
    <w:p>
      <w:pPr>
        <w:pStyle w:val="TextBody"/>
        <w:bidi w:val="0"/>
        <w:jc w:val="both"/>
        <w:rPr>
          <w:rFonts w:ascii="Arial" w:hAnsi="Arial"/>
          <w:color w:val="000000"/>
          <w:sz w:val="24"/>
        </w:rPr>
      </w:pPr>
      <w:r>
        <w:rPr>
          <w:rFonts w:ascii="Arial" w:hAnsi="Arial"/>
          <w:color w:val="000000"/>
          <w:sz w:val="24"/>
        </w:rPr>
        <w:t>Web: https://bioagelabs.com</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BIOAGE LABS, INC.</w:t>
      </w:r>
    </w:p>
    <w:p>
      <w:pPr>
        <w:pStyle w:val="TextBody"/>
        <w:bidi w:val="0"/>
        <w:jc w:val="center"/>
        <w:rPr>
          <w:rFonts w:ascii="Arial" w:hAnsi="Arial"/>
          <w:b/>
          <w:color w:val="000000"/>
          <w:sz w:val="18"/>
        </w:rPr>
      </w:pPr>
      <w:r>
        <w:rPr>
          <w:rFonts w:ascii="Arial" w:hAnsi="Arial"/>
          <w:b/>
          <w:color w:val="000000"/>
          <w:sz w:val="18"/>
        </w:rPr>
        <w:t>Unaudited Condensed Consolidated Statements of Operations</w:t>
      </w:r>
    </w:p>
    <w:p>
      <w:pPr>
        <w:pStyle w:val="TextBody"/>
        <w:bidi w:val="0"/>
        <w:jc w:val="center"/>
        <w:rPr>
          <w:rFonts w:ascii="Arial" w:hAnsi="Arial"/>
          <w:b/>
          <w:color w:val="000000"/>
          <w:sz w:val="18"/>
        </w:rPr>
      </w:pPr>
      <w:r>
        <w:rPr>
          <w:rFonts w:ascii="Arial" w:hAnsi="Arial"/>
          <w:b/>
          <w:color w:val="000000"/>
          <w:sz w:val="18"/>
        </w:rPr>
        <w:t>(in thousands, except share and per share information)</w:t>
      </w:r>
    </w:p>
    <w:p>
      <w:pPr>
        <w:pStyle w:val="TextBody"/>
        <w:bidi w:val="0"/>
        <w:jc w:val="both"/>
        <w:rPr/>
      </w:pPr>
      <w:r>
        <w:rPr/>
        <w:t> </w:t>
      </w:r>
    </w:p>
    <w:tbl>
      <w:tblPr>
        <w:tblW w:w="9809" w:type="dxa"/>
        <w:jc w:val="left"/>
        <w:tblInd w:w="0" w:type="dxa"/>
        <w:tblLayout w:type="fixed"/>
        <w:tblCellMar>
          <w:top w:w="28" w:type="dxa"/>
          <w:left w:w="28" w:type="dxa"/>
          <w:bottom w:w="28" w:type="dxa"/>
          <w:right w:w="28" w:type="dxa"/>
        </w:tblCellMar>
      </w:tblPr>
      <w:tblGrid>
        <w:gridCol w:w="6046"/>
        <w:gridCol w:w="146"/>
        <w:gridCol w:w="211"/>
        <w:gridCol w:w="1036"/>
        <w:gridCol w:w="166"/>
        <w:gridCol w:w="146"/>
        <w:gridCol w:w="211"/>
        <w:gridCol w:w="1036"/>
        <w:gridCol w:w="811"/>
      </w:tblGrid>
      <w:tr>
        <w:trPr/>
        <w:tc>
          <w:tcPr>
            <w:tcW w:w="6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and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(loss) from changes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44,838,893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35,850,037</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BIOAGE LABS, INC.</w:t>
        <w:br/>
        <w:t>Unaudited Condensed Consolidated Balance Sheets</w:t>
      </w:r>
    </w:p>
    <w:p>
      <w:pPr>
        <w:pStyle w:val="TextBody"/>
        <w:bidi w:val="0"/>
        <w:jc w:val="center"/>
        <w:rPr>
          <w:rFonts w:ascii="Arial" w:hAnsi="Arial"/>
          <w:b/>
          <w:color w:val="000000"/>
          <w:sz w:val="18"/>
        </w:rPr>
      </w:pPr>
      <w:r>
        <w:rPr>
          <w:rFonts w:ascii="Arial" w:hAnsi="Arial"/>
          <w:b/>
          <w:color w:val="000000"/>
          <w:sz w:val="18"/>
        </w:rPr>
        <w:t>(in thousands, except share and per share information)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791"/>
        <w:gridCol w:w="146"/>
        <w:gridCol w:w="211"/>
        <w:gridCol w:w="841"/>
        <w:gridCol w:w="166"/>
        <w:gridCol w:w="146"/>
        <w:gridCol w:w="222"/>
        <w:gridCol w:w="889"/>
        <w:gridCol w:w="793"/>
      </w:tblGrid>
      <w:tr>
        <w:trPr/>
        <w:tc>
          <w:tcPr>
            <w:tcW w:w="6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188,888</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92,210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286,793</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294,889</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20,138</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22,838</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$0.00001 par value; 10,000,000 shares authorized as of June 30, 2026 and December 31, 2025; no shares issued or outstanding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$0.00001 par value; 500,000,000 shares authorized as of June 30, 2026 and December 31, 2025; 45,776,902 and 37,386,908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605,189</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(333,416</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272,051</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294,889</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2691</Words>
  <Characters>15788</Characters>
  <CharactersWithSpaces>18569</CharactersWithSpaces>
  <Paragraphs>627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