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742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742180"/>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Hemrajani Rekha</w:t>
              </w:r>
            </w:hyperlink>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BioAge Labs,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BIOA</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460" w:type="dxa"/>
            <w:vAlign w:val="bottom"/>
            <w:gridSpan w:val="4"/>
            <w:vMerge w:val="continue"/>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500" w:type="dxa"/>
            <w:vAlign w:val="bottom"/>
            <w:tcBorders>
              <w:bottom w:val="single" w:sz="8" w:color="0000EE"/>
            </w:tcBorders>
          </w:tcPr>
          <w:p>
            <w:pPr>
              <w:spacing w:after="0"/>
              <w:rPr>
                <w:sz w:val="6"/>
                <w:szCs w:val="6"/>
                <w:color w:val="auto"/>
              </w:rPr>
            </w:pPr>
          </w:p>
        </w:tc>
        <w:tc>
          <w:tcPr>
            <w:tcW w:w="226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46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500" w:type="dxa"/>
            <w:vAlign w:val="bottom"/>
          </w:tcPr>
          <w:p>
            <w:pPr>
              <w:spacing w:after="0"/>
              <w:rPr>
                <w:sz w:val="5"/>
                <w:szCs w:val="5"/>
                <w:color w:val="auto"/>
              </w:rPr>
            </w:pPr>
          </w:p>
        </w:tc>
        <w:tc>
          <w:tcPr>
            <w:tcW w:w="226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660" w:type="dxa"/>
            <w:vAlign w:val="bottom"/>
            <w:tcBorders>
              <w:top w:val="single" w:sz="8" w:color="0000EE"/>
            </w:tcBorders>
          </w:tcPr>
          <w:p>
            <w:pPr>
              <w:spacing w:after="0"/>
              <w:rPr>
                <w:sz w:val="6"/>
                <w:szCs w:val="6"/>
                <w:color w:val="auto"/>
              </w:rPr>
            </w:pPr>
          </w:p>
        </w:tc>
        <w:tc>
          <w:tcPr>
            <w:tcW w:w="10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500" w:type="dxa"/>
            <w:vAlign w:val="bottom"/>
          </w:tcPr>
          <w:p>
            <w:pPr>
              <w:spacing w:after="0"/>
              <w:rPr>
                <w:sz w:val="6"/>
                <w:szCs w:val="6"/>
                <w:color w:val="auto"/>
              </w:rPr>
            </w:pPr>
          </w:p>
        </w:tc>
        <w:tc>
          <w:tcPr>
            <w:tcW w:w="226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660" w:type="dxa"/>
            <w:vAlign w:val="bottom"/>
            <w:tcBorders>
              <w:top w:val="single" w:sz="8" w:color="EEEEEE"/>
            </w:tcBorders>
          </w:tcPr>
          <w:p>
            <w:pPr>
              <w:spacing w:after="0"/>
              <w:rPr>
                <w:sz w:val="2"/>
                <w:szCs w:val="2"/>
                <w:color w:val="auto"/>
              </w:rPr>
            </w:pPr>
          </w:p>
        </w:tc>
        <w:tc>
          <w:tcPr>
            <w:tcW w:w="100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16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06/10/2026</w:t>
            </w:r>
          </w:p>
        </w:tc>
        <w:tc>
          <w:tcPr>
            <w:tcW w:w="226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C/O BIOAGE LABS, INC.</w:t>
            </w:r>
          </w:p>
        </w:tc>
        <w:tc>
          <w:tcPr>
            <w:tcW w:w="1200" w:type="dxa"/>
            <w:vAlign w:val="bottom"/>
          </w:tcPr>
          <w:p>
            <w:pPr>
              <w:spacing w:after="0"/>
              <w:rPr>
                <w:sz w:val="10"/>
                <w:szCs w:val="10"/>
                <w:color w:val="auto"/>
              </w:rPr>
            </w:pPr>
          </w:p>
        </w:tc>
        <w:tc>
          <w:tcPr>
            <w:tcW w:w="1660" w:type="dxa"/>
            <w:vAlign w:val="bottom"/>
            <w:gridSpan w:val="3"/>
            <w:vMerge w:val="continue"/>
          </w:tcPr>
          <w:p>
            <w:pPr>
              <w:spacing w:after="0"/>
              <w:rPr>
                <w:sz w:val="10"/>
                <w:szCs w:val="10"/>
                <w:color w:val="auto"/>
              </w:rPr>
            </w:pPr>
          </w:p>
        </w:tc>
        <w:tc>
          <w:tcPr>
            <w:tcW w:w="226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gridSpan w:val="4"/>
            <w:vMerge w:val="continue"/>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5885 HOLLIS STREET, SUITE 370</w:t>
            </w: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00" w:type="dxa"/>
            <w:vAlign w:val="bottom"/>
            <w:tcBorders>
              <w:bottom w:val="single" w:sz="8" w:color="2C2C2C"/>
            </w:tcBorders>
          </w:tcPr>
          <w:p>
            <w:pPr>
              <w:spacing w:after="0"/>
              <w:rPr>
                <w:sz w:val="11"/>
                <w:szCs w:val="11"/>
                <w:color w:val="auto"/>
              </w:rPr>
            </w:pPr>
          </w:p>
        </w:tc>
        <w:tc>
          <w:tcPr>
            <w:tcW w:w="226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660" w:type="dxa"/>
            <w:vAlign w:val="bottom"/>
            <w:gridSpan w:val="5"/>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6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1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EMERYVILLE</w:t>
            </w:r>
          </w:p>
        </w:tc>
        <w:tc>
          <w:tcPr>
            <w:tcW w:w="9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94608</w:t>
            </w:r>
          </w:p>
        </w:tc>
      </w:tr>
      <w:tr>
        <w:trPr>
          <w:trHeight w:val="149"/>
        </w:trPr>
        <w:tc>
          <w:tcPr>
            <w:tcW w:w="20" w:type="dxa"/>
            <w:vAlign w:val="bottom"/>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90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160" w:type="dxa"/>
            <w:vAlign w:val="bottom"/>
          </w:tcPr>
          <w:p>
            <w:pPr>
              <w:ind w:left="20"/>
              <w:spacing w:after="0"/>
              <w:rPr>
                <w:sz w:val="20"/>
                <w:szCs w:val="20"/>
                <w:color w:val="auto"/>
              </w:rPr>
            </w:pPr>
            <w:r>
              <w:rPr>
                <w:rFonts w:ascii="Arial" w:cs="Arial" w:eastAsia="Arial" w:hAnsi="Arial"/>
                <w:sz w:val="13"/>
                <w:szCs w:val="13"/>
                <w:color w:val="auto"/>
              </w:rPr>
              <w:t>(City)</w:t>
            </w:r>
          </w:p>
        </w:tc>
        <w:tc>
          <w:tcPr>
            <w:tcW w:w="900" w:type="dxa"/>
            <w:vAlign w:val="bottom"/>
          </w:tcPr>
          <w:p>
            <w:pPr>
              <w:ind w:left="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2"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3"/>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15.48</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06/10/2026</w:t>
            </w:r>
          </w:p>
        </w:tc>
        <w:tc>
          <w:tcPr>
            <w:tcW w:w="1100" w:type="dxa"/>
            <w:vAlign w:val="bottom"/>
          </w:tcPr>
          <w:p>
            <w:pPr>
              <w:spacing w:after="0"/>
              <w:rPr>
                <w:sz w:val="16"/>
                <w:szCs w:val="16"/>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22,000</w:t>
            </w:r>
          </w:p>
        </w:tc>
        <w:tc>
          <w:tcPr>
            <w:tcW w:w="280" w:type="dxa"/>
            <w:vAlign w:val="bottom"/>
          </w:tcPr>
          <w:p>
            <w:pPr>
              <w:spacing w:after="0"/>
              <w:rPr>
                <w:sz w:val="16"/>
                <w:szCs w:val="16"/>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06/09/2036</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22,000</w:t>
            </w: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22,000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6"/>
                <w:szCs w:val="16"/>
                <w:color w:val="auto"/>
              </w:rPr>
            </w:pPr>
          </w:p>
        </w:tc>
      </w:tr>
      <w:tr>
        <w:trPr>
          <w:trHeight w:val="104"/>
        </w:trPr>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64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entire option award shall vest on the earlier of: (i) the date of the next annual meeting of the Issuer's stockholders or (ii) the one year anniversary of the grant date, subject to the reporting person's continued service to the Issuer on the applicable vesting date.</w:t>
      </w:r>
    </w:p>
    <w:p>
      <w:pPr>
        <w:spacing w:after="0" w:line="28"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Dov A. Goldstein as</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06/12/2026</w:t>
            </w:r>
          </w:p>
        </w:tc>
        <w:tc>
          <w:tcPr>
            <w:tcW w:w="0" w:type="dxa"/>
            <w:vAlign w:val="bottom"/>
          </w:tcPr>
          <w:p>
            <w:pPr>
              <w:spacing w:after="0"/>
              <w:rPr>
                <w:sz w:val="1"/>
                <w:szCs w:val="1"/>
                <w:color w:val="auto"/>
              </w:rPr>
            </w:pPr>
          </w:p>
        </w:tc>
      </w:tr>
      <w:tr>
        <w:trPr>
          <w:trHeight w:val="88"/>
        </w:trPr>
        <w:tc>
          <w:tcPr>
            <w:tcW w:w="1040" w:type="dxa"/>
            <w:vAlign w:val="bottom"/>
            <w:tcBorders>
              <w:top w:val="single" w:sz="8" w:color="auto"/>
              <w:bottom w:val="single" w:sz="8" w:color="auto"/>
            </w:tcBorders>
            <w:vMerge w:val="restart"/>
          </w:tcPr>
          <w:p>
            <w:pPr>
              <w:spacing w:after="0" w:line="186" w:lineRule="exact"/>
              <w:rPr>
                <w:sz w:val="20"/>
                <w:szCs w:val="20"/>
                <w:color w:val="auto"/>
              </w:rPr>
            </w:pPr>
            <w:r>
              <w:rPr>
                <w:rFonts w:ascii="Times New Roman" w:cs="Times New Roman" w:eastAsia="Times New Roman" w:hAnsi="Times New Roman"/>
                <w:sz w:val="17"/>
                <w:szCs w:val="17"/>
                <w:color w:val="0000FF"/>
                <w:w w:val="96"/>
              </w:rPr>
              <w:t>attorney-in-fact</w:t>
            </w:r>
          </w:p>
        </w:tc>
        <w:tc>
          <w:tcPr>
            <w:tcW w:w="520" w:type="dxa"/>
            <w:vAlign w:val="bottom"/>
            <w:tcBorders>
              <w:top w:val="single" w:sz="8" w:color="auto"/>
              <w:bottom w:val="single" w:sz="8" w:color="auto"/>
            </w:tcBorders>
            <w:vMerge w:val="restart"/>
          </w:tcPr>
          <w:p>
            <w:pPr>
              <w:spacing w:after="0"/>
              <w:rPr>
                <w:sz w:val="7"/>
                <w:szCs w:val="7"/>
                <w:color w:val="auto"/>
              </w:rPr>
            </w:pPr>
          </w:p>
        </w:tc>
        <w:tc>
          <w:tcPr>
            <w:tcW w:w="64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1040" w:type="dxa"/>
            <w:vAlign w:val="bottom"/>
            <w:tcBorders>
              <w:bottom w:val="single" w:sz="8" w:color="auto"/>
            </w:tcBorders>
            <w:vMerge w:val="continue"/>
          </w:tcPr>
          <w:p>
            <w:pPr>
              <w:spacing w:after="0"/>
              <w:rPr>
                <w:sz w:val="7"/>
                <w:szCs w:val="7"/>
                <w:color w:val="auto"/>
              </w:rPr>
            </w:pPr>
          </w:p>
        </w:tc>
        <w:tc>
          <w:tcPr>
            <w:tcW w:w="520" w:type="dxa"/>
            <w:vAlign w:val="bottom"/>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771213" TargetMode="External"/><Relationship Id="rId14" Type="http://schemas.openxmlformats.org/officeDocument/2006/relationships/hyperlink" Target="http://www.sec.gov/cgi-bin/browse-edgar?action=getcompany&amp;CIK=000170994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2026-06-12T15:43:03Z</dcterms:created>
  <dcterms:modified xsi:type="dcterms:W3CDTF">2026-06-12T15:43:03Z</dcterms:modified>
</cp:coreProperties>
</file>