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6122026_080614.xml.htm"/>
      <w:bookmarkStart w:id="1" w:name="ksform406122026_08061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GARNIER JEAN PIERRE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BIOAGE LABS,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5885 HOLLIS STREET, SUITE 370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EMERYVILLE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94608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BioAge Labs, Inc.</w:t>
              </w:r>
            </w:hyperlink>
            <w:r>
              <w:rPr/>
              <w:t xml:space="preserve"> [ </w:t>
            </w:r>
            <w:r>
              <w:rPr>
                <w:rFonts w:ascii="Times;serif" w:hAnsi="Times;serif"/>
                <w:color w:val="0000FF"/>
                <w:sz w:val="24"/>
                <w:shd w:fill="FFFFFF" w:val="clear"/>
              </w:rPr>
              <w:t>BIOA</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06/10/2026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029"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711"/>
        <w:gridCol w:w="276"/>
        <w:gridCol w:w="906"/>
        <w:gridCol w:w="801"/>
        <w:gridCol w:w="891"/>
        <w:gridCol w:w="801"/>
        <w:gridCol w:w="801"/>
        <w:gridCol w:w="936"/>
        <w:gridCol w:w="831"/>
        <w:gridCol w:w="846"/>
      </w:tblGrid>
      <w:tr>
        <w:trPr>
          <w:tblHeader w:val="true"/>
        </w:trPr>
        <w:tc>
          <w:tcPr>
            <w:tcW w:w="1202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15.48</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06/10/2026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22,000</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06/09/2036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22,000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entire option award shall vest on the earlier of: (i) the date of the next annual meeting of the Issuer's stockholders or (ii) the one year anniversary of the grant date, subject to the reporting person's continued service to the Issuer on the applicable vesting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Dov A. Goldstein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06/12/2026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184175" TargetMode="External"/><Relationship Id="rId5" Type="http://schemas.openxmlformats.org/officeDocument/2006/relationships/hyperlink" Target="http://www.sec.gov/cgi-bin/browse-edgar?action=getcompany&amp;CIK=000170994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620</Words>
  <Characters>3331</Characters>
  <CharactersWithSpaces>3889</CharactersWithSpaces>
  <Paragraphs>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