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Pande Vijay Satyanand</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BioAge Labs,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BIOA</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00" w:type="dxa"/>
            <w:vAlign w:val="bottom"/>
            <w:tcBorders>
              <w:bottom w:val="single" w:sz="8" w:color="0000EE"/>
            </w:tcBorders>
          </w:tcPr>
          <w:p>
            <w:pPr>
              <w:spacing w:after="0"/>
              <w:rPr>
                <w:sz w:val="6"/>
                <w:szCs w:val="6"/>
                <w:color w:val="auto"/>
              </w:rPr>
            </w:pPr>
          </w:p>
        </w:tc>
        <w:tc>
          <w:tcPr>
            <w:tcW w:w="22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500" w:type="dxa"/>
            <w:vAlign w:val="bottom"/>
          </w:tcPr>
          <w:p>
            <w:pPr>
              <w:spacing w:after="0"/>
              <w:rPr>
                <w:sz w:val="5"/>
                <w:szCs w:val="5"/>
                <w:color w:val="auto"/>
              </w:rPr>
            </w:pPr>
          </w:p>
        </w:tc>
        <w:tc>
          <w:tcPr>
            <w:tcW w:w="22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140" w:type="dxa"/>
            <w:vAlign w:val="bottom"/>
            <w:tcBorders>
              <w:top w:val="single" w:sz="8" w:color="0000EE"/>
            </w:tcBorders>
          </w:tcPr>
          <w:p>
            <w:pPr>
              <w:spacing w:after="0"/>
              <w:rPr>
                <w:sz w:val="6"/>
                <w:szCs w:val="6"/>
                <w:color w:val="auto"/>
              </w:rPr>
            </w:pPr>
          </w:p>
        </w:tc>
        <w:tc>
          <w:tcPr>
            <w:tcW w:w="5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00" w:type="dxa"/>
            <w:vAlign w:val="bottom"/>
          </w:tcPr>
          <w:p>
            <w:pPr>
              <w:spacing w:after="0"/>
              <w:rPr>
                <w:sz w:val="6"/>
                <w:szCs w:val="6"/>
                <w:color w:val="auto"/>
              </w:rPr>
            </w:pPr>
          </w:p>
        </w:tc>
        <w:tc>
          <w:tcPr>
            <w:tcW w:w="22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140" w:type="dxa"/>
            <w:vAlign w:val="bottom"/>
            <w:tcBorders>
              <w:top w:val="single" w:sz="8" w:color="EEEEEE"/>
            </w:tcBorders>
          </w:tcPr>
          <w:p>
            <w:pPr>
              <w:spacing w:after="0"/>
              <w:rPr>
                <w:sz w:val="2"/>
                <w:szCs w:val="2"/>
                <w:color w:val="auto"/>
              </w:rPr>
            </w:pPr>
          </w:p>
        </w:tc>
        <w:tc>
          <w:tcPr>
            <w:tcW w:w="5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6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06/10/2026</w:t>
            </w:r>
          </w:p>
        </w:tc>
        <w:tc>
          <w:tcPr>
            <w:tcW w:w="22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BIOAGE LABS, INC.</w:t>
            </w:r>
          </w:p>
        </w:tc>
        <w:tc>
          <w:tcPr>
            <w:tcW w:w="1200" w:type="dxa"/>
            <w:vAlign w:val="bottom"/>
          </w:tcPr>
          <w:p>
            <w:pPr>
              <w:spacing w:after="0"/>
              <w:rPr>
                <w:sz w:val="10"/>
                <w:szCs w:val="10"/>
                <w:color w:val="auto"/>
              </w:rPr>
            </w:pPr>
          </w:p>
        </w:tc>
        <w:tc>
          <w:tcPr>
            <w:tcW w:w="1660" w:type="dxa"/>
            <w:vAlign w:val="bottom"/>
            <w:gridSpan w:val="3"/>
            <w:vMerge w:val="continue"/>
          </w:tcPr>
          <w:p>
            <w:pPr>
              <w:spacing w:after="0"/>
              <w:rPr>
                <w:sz w:val="10"/>
                <w:szCs w:val="10"/>
                <w:color w:val="auto"/>
              </w:rPr>
            </w:pPr>
          </w:p>
        </w:tc>
        <w:tc>
          <w:tcPr>
            <w:tcW w:w="22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5885 HOLLIS STREET, SUITE 370</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EMERYVILLE</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94608</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15.48</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06/10/2026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22,000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06/09/2036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22,000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22,000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64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entire option award shall vest on the earlier of: (i) the date of the next annual meeting of the Issuer's stockholders or (ii) the one year anniversary of the grant date, subject to the reporting person's continued service to the Issuer on the applicable vesting date.</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Dov A. Goldstein as</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06/12/2026</w:t>
            </w:r>
          </w:p>
        </w:tc>
        <w:tc>
          <w:tcPr>
            <w:tcW w:w="0" w:type="dxa"/>
            <w:vAlign w:val="bottom"/>
          </w:tcPr>
          <w:p>
            <w:pPr>
              <w:spacing w:after="0"/>
              <w:rPr>
                <w:sz w:val="1"/>
                <w:szCs w:val="1"/>
                <w:color w:val="auto"/>
              </w:rPr>
            </w:pPr>
          </w:p>
        </w:tc>
      </w:tr>
      <w:tr>
        <w:trPr>
          <w:trHeight w:val="88"/>
        </w:trPr>
        <w:tc>
          <w:tcPr>
            <w:tcW w:w="1040" w:type="dxa"/>
            <w:vAlign w:val="bottom"/>
            <w:tcBorders>
              <w:top w:val="single" w:sz="8" w:color="auto"/>
              <w:bottom w:val="single" w:sz="8" w:color="auto"/>
            </w:tcBorders>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520" w:type="dxa"/>
            <w:vAlign w:val="bottom"/>
            <w:tcBorders>
              <w:top w:val="single" w:sz="8" w:color="auto"/>
              <w:bottom w:val="single" w:sz="8" w:color="auto"/>
            </w:tcBorders>
            <w:vMerge w:val="restart"/>
          </w:tcPr>
          <w:p>
            <w:pPr>
              <w:spacing w:after="0"/>
              <w:rPr>
                <w:sz w:val="7"/>
                <w:szCs w:val="7"/>
                <w:color w:val="auto"/>
              </w:rPr>
            </w:pPr>
          </w:p>
        </w:tc>
        <w:tc>
          <w:tcPr>
            <w:tcW w:w="6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040" w:type="dxa"/>
            <w:vAlign w:val="bottom"/>
            <w:tcBorders>
              <w:bottom w:val="single" w:sz="8" w:color="auto"/>
            </w:tcBorders>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40663" TargetMode="External"/><Relationship Id="rId14" Type="http://schemas.openxmlformats.org/officeDocument/2006/relationships/hyperlink" Target="http://www.sec.gov/cgi-bin/browse-edgar?action=getcompany&amp;CIK=00017099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2026-06-12T15:48:34Z</dcterms:created>
  <dcterms:modified xsi:type="dcterms:W3CDTF">2026-06-12T15:48:34Z</dcterms:modified>
</cp:coreProperties>
</file>